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5997" w14:textId="77777777" w:rsidR="00815937" w:rsidRPr="00267E4A" w:rsidRDefault="00815937">
      <w:pPr>
        <w:spacing w:line="240" w:lineRule="auto"/>
        <w:jc w:val="center"/>
        <w:rPr>
          <w:rFonts w:ascii="Arial" w:hAnsi="Arial" w:cs="Arial"/>
          <w:b/>
          <w:color w:val="008080"/>
          <w:spacing w:val="0"/>
          <w:sz w:val="24"/>
          <w:szCs w:val="24"/>
        </w:rPr>
      </w:pPr>
    </w:p>
    <w:p w14:paraId="46A2D90F" w14:textId="77777777" w:rsidR="00165450" w:rsidRDefault="00915C6E" w:rsidP="00B0624E">
      <w:pPr>
        <w:ind w:left="142"/>
        <w:jc w:val="center"/>
        <w:rPr>
          <w:rFonts w:ascii="Arial" w:hAnsi="Arial" w:cs="Arial"/>
          <w:b/>
          <w:color w:val="FFFFFF"/>
          <w:sz w:val="24"/>
          <w:szCs w:val="24"/>
        </w:rPr>
      </w:pPr>
      <w:r>
        <w:rPr>
          <w:rFonts w:cs="Arial"/>
          <w:noProof/>
          <w:color w:val="00559F"/>
          <w:lang w:val="en-GB" w:eastAsia="en-GB"/>
        </w:rPr>
        <mc:AlternateContent>
          <mc:Choice Requires="wps">
            <w:drawing>
              <wp:anchor distT="0" distB="0" distL="114300" distR="114300" simplePos="0" relativeHeight="251661312" behindDoc="0" locked="0" layoutInCell="1" allowOverlap="1" wp14:anchorId="7649FEE4" wp14:editId="0FC462DF">
                <wp:simplePos x="0" y="0"/>
                <wp:positionH relativeFrom="page">
                  <wp:posOffset>-161925</wp:posOffset>
                </wp:positionH>
                <wp:positionV relativeFrom="paragraph">
                  <wp:posOffset>339090</wp:posOffset>
                </wp:positionV>
                <wp:extent cx="7972425" cy="793820"/>
                <wp:effectExtent l="0" t="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2425" cy="79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EFA6F" w14:textId="77777777" w:rsidR="00654B87" w:rsidRDefault="00654B87" w:rsidP="00654B87">
                            <w:pPr>
                              <w:shd w:val="clear" w:color="auto" w:fill="00559F"/>
                              <w:rPr>
                                <w:rFonts w:ascii="Arial" w:hAnsi="Arial" w:cs="Arial"/>
                                <w:b/>
                                <w:sz w:val="8"/>
                              </w:rPr>
                            </w:pPr>
                            <w:r w:rsidRPr="00654B87">
                              <w:rPr>
                                <w:rFonts w:ascii="Arial" w:hAnsi="Arial" w:cs="Arial"/>
                                <w:b/>
                                <w:sz w:val="8"/>
                              </w:rPr>
                              <w:t xml:space="preserve">US                                              </w:t>
                            </w:r>
                          </w:p>
                          <w:p w14:paraId="2CFA597B" w14:textId="77777777" w:rsidR="00654B87" w:rsidRDefault="00654B87" w:rsidP="00654B87">
                            <w:pPr>
                              <w:shd w:val="clear" w:color="auto" w:fill="00559F"/>
                              <w:rPr>
                                <w:rFonts w:ascii="Arial" w:hAnsi="Arial" w:cs="Arial"/>
                                <w:b/>
                                <w:sz w:val="8"/>
                              </w:rPr>
                            </w:pPr>
                          </w:p>
                          <w:p w14:paraId="1B477F67" w14:textId="77777777" w:rsidR="00654B87" w:rsidRDefault="00654B87" w:rsidP="00654B87">
                            <w:pPr>
                              <w:shd w:val="clear" w:color="auto" w:fill="00559F"/>
                              <w:jc w:val="center"/>
                              <w:rPr>
                                <w:rFonts w:ascii="Arial" w:hAnsi="Arial" w:cs="Arial"/>
                                <w:b/>
                                <w:sz w:val="8"/>
                              </w:rPr>
                            </w:pPr>
                          </w:p>
                          <w:p w14:paraId="20EF6358" w14:textId="77777777" w:rsidR="00654B87" w:rsidRPr="00654B87" w:rsidRDefault="00E36A03" w:rsidP="00654B87">
                            <w:pPr>
                              <w:shd w:val="clear" w:color="auto" w:fill="00559F"/>
                              <w:jc w:val="center"/>
                              <w:rPr>
                                <w:rFonts w:ascii="Arial" w:hAnsi="Arial" w:cs="Arial"/>
                                <w:b/>
                                <w:color w:val="FFFFFF" w:themeColor="background1"/>
                              </w:rPr>
                            </w:pPr>
                            <w:r>
                              <w:rPr>
                                <w:rFonts w:ascii="Arial" w:hAnsi="Arial" w:cs="Arial"/>
                                <w:b/>
                                <w:color w:val="FFFFFF" w:themeColor="background1"/>
                                <w:sz w:val="28"/>
                                <w:szCs w:val="28"/>
                              </w:rPr>
                              <w:t xml:space="preserve">MTFA </w:t>
                            </w:r>
                            <w:r w:rsidR="00954336">
                              <w:rPr>
                                <w:rFonts w:ascii="Arial" w:hAnsi="Arial" w:cs="Arial"/>
                                <w:b/>
                                <w:color w:val="FFFFFF" w:themeColor="background1"/>
                                <w:sz w:val="28"/>
                                <w:szCs w:val="28"/>
                              </w:rPr>
                              <w:t xml:space="preserve">National Working </w:t>
                            </w:r>
                            <w:r w:rsidR="003C6006">
                              <w:rPr>
                                <w:rFonts w:ascii="Arial" w:hAnsi="Arial" w:cs="Arial"/>
                                <w:b/>
                                <w:color w:val="FFFFFF" w:themeColor="background1"/>
                                <w:sz w:val="28"/>
                                <w:szCs w:val="28"/>
                              </w:rPr>
                              <w:t>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9FEE4" id="_x0000_t202" coordsize="21600,21600" o:spt="202" path="m,l,21600r21600,l21600,xe">
                <v:stroke joinstyle="miter"/>
                <v:path gradientshapeok="t" o:connecttype="rect"/>
              </v:shapetype>
              <v:shape id="Text Box 8" o:spid="_x0000_s1026" type="#_x0000_t202" style="position:absolute;left:0;text-align:left;margin-left:-12.75pt;margin-top:26.7pt;width:627.75pt;height: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TY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" stroked="f">
                <v:textbox>
                  <w:txbxContent>
                    <w:p w14:paraId="4B9EFA6F" w14:textId="77777777" w:rsidR="00654B87" w:rsidRDefault="00654B87" w:rsidP="00654B87">
                      <w:pPr>
                        <w:shd w:val="clear" w:color="auto" w:fill="00559F"/>
                        <w:rPr>
                          <w:rFonts w:ascii="Arial" w:hAnsi="Arial" w:cs="Arial"/>
                          <w:b/>
                          <w:sz w:val="8"/>
                        </w:rPr>
                      </w:pPr>
                      <w:r w:rsidRPr="00654B87">
                        <w:rPr>
                          <w:rFonts w:ascii="Arial" w:hAnsi="Arial" w:cs="Arial"/>
                          <w:b/>
                          <w:sz w:val="8"/>
                        </w:rPr>
                        <w:t xml:space="preserve">US                                              </w:t>
                      </w:r>
                    </w:p>
                    <w:p w14:paraId="2CFA597B" w14:textId="77777777" w:rsidR="00654B87" w:rsidRDefault="00654B87" w:rsidP="00654B87">
                      <w:pPr>
                        <w:shd w:val="clear" w:color="auto" w:fill="00559F"/>
                        <w:rPr>
                          <w:rFonts w:ascii="Arial" w:hAnsi="Arial" w:cs="Arial"/>
                          <w:b/>
                          <w:sz w:val="8"/>
                        </w:rPr>
                      </w:pPr>
                    </w:p>
                    <w:p w14:paraId="1B477F67" w14:textId="77777777" w:rsidR="00654B87" w:rsidRDefault="00654B87" w:rsidP="00654B87">
                      <w:pPr>
                        <w:shd w:val="clear" w:color="auto" w:fill="00559F"/>
                        <w:jc w:val="center"/>
                        <w:rPr>
                          <w:rFonts w:ascii="Arial" w:hAnsi="Arial" w:cs="Arial"/>
                          <w:b/>
                          <w:sz w:val="8"/>
                        </w:rPr>
                      </w:pPr>
                    </w:p>
                    <w:p w14:paraId="20EF6358" w14:textId="77777777" w:rsidR="00654B87" w:rsidRPr="00654B87" w:rsidRDefault="00E36A03" w:rsidP="00654B87">
                      <w:pPr>
                        <w:shd w:val="clear" w:color="auto" w:fill="00559F"/>
                        <w:jc w:val="center"/>
                        <w:rPr>
                          <w:rFonts w:ascii="Arial" w:hAnsi="Arial" w:cs="Arial"/>
                          <w:b/>
                          <w:color w:val="FFFFFF" w:themeColor="background1"/>
                        </w:rPr>
                      </w:pPr>
                      <w:r>
                        <w:rPr>
                          <w:rFonts w:ascii="Arial" w:hAnsi="Arial" w:cs="Arial"/>
                          <w:b/>
                          <w:color w:val="FFFFFF" w:themeColor="background1"/>
                          <w:sz w:val="28"/>
                          <w:szCs w:val="28"/>
                        </w:rPr>
                        <w:t xml:space="preserve">MTFA </w:t>
                      </w:r>
                      <w:r w:rsidR="00954336">
                        <w:rPr>
                          <w:rFonts w:ascii="Arial" w:hAnsi="Arial" w:cs="Arial"/>
                          <w:b/>
                          <w:color w:val="FFFFFF" w:themeColor="background1"/>
                          <w:sz w:val="28"/>
                          <w:szCs w:val="28"/>
                        </w:rPr>
                        <w:t xml:space="preserve">National Working </w:t>
                      </w:r>
                      <w:r w:rsidR="003C6006">
                        <w:rPr>
                          <w:rFonts w:ascii="Arial" w:hAnsi="Arial" w:cs="Arial"/>
                          <w:b/>
                          <w:color w:val="FFFFFF" w:themeColor="background1"/>
                          <w:sz w:val="28"/>
                          <w:szCs w:val="28"/>
                        </w:rPr>
                        <w:t>Group</w:t>
                      </w:r>
                    </w:p>
                  </w:txbxContent>
                </v:textbox>
                <w10:wrap anchorx="page"/>
              </v:shape>
            </w:pict>
          </mc:Fallback>
        </mc:AlternateContent>
      </w:r>
    </w:p>
    <w:p w14:paraId="706E012B" w14:textId="77777777" w:rsidR="00DC22FA" w:rsidRDefault="00C42CF8" w:rsidP="00C42CF8">
      <w:pPr>
        <w:tabs>
          <w:tab w:val="left" w:pos="8400"/>
        </w:tabs>
        <w:ind w:left="142"/>
        <w:rPr>
          <w:rFonts w:ascii="Arial" w:hAnsi="Arial" w:cs="Arial"/>
          <w:b/>
          <w:color w:val="FFFFFF"/>
          <w:sz w:val="28"/>
          <w:szCs w:val="24"/>
        </w:rPr>
      </w:pPr>
      <w:r>
        <w:rPr>
          <w:rFonts w:ascii="Arial" w:hAnsi="Arial" w:cs="Arial"/>
          <w:b/>
          <w:color w:val="FFFFFF"/>
          <w:sz w:val="28"/>
          <w:szCs w:val="24"/>
        </w:rPr>
        <w:tab/>
      </w:r>
    </w:p>
    <w:p w14:paraId="472FBDF7" w14:textId="77777777" w:rsidR="009A066C" w:rsidRPr="00165450" w:rsidRDefault="005D52B1" w:rsidP="00B0624E">
      <w:pPr>
        <w:ind w:left="142"/>
        <w:jc w:val="center"/>
        <w:rPr>
          <w:rFonts w:ascii="Arial" w:hAnsi="Arial" w:cs="Arial"/>
          <w:b/>
          <w:color w:val="FFFFFF"/>
          <w:sz w:val="28"/>
          <w:szCs w:val="24"/>
        </w:rPr>
      </w:pPr>
      <w:r w:rsidRPr="00165450">
        <w:rPr>
          <w:rFonts w:ascii="Arial" w:hAnsi="Arial" w:cs="Arial"/>
          <w:b/>
          <w:color w:val="FFFFFF"/>
          <w:sz w:val="28"/>
          <w:szCs w:val="24"/>
        </w:rPr>
        <w:t>USAR National Working Group</w:t>
      </w:r>
      <w:r w:rsidR="00165450" w:rsidRPr="00165450">
        <w:rPr>
          <w:rFonts w:ascii="Arial" w:hAnsi="Arial" w:cs="Arial"/>
          <w:b/>
          <w:color w:val="FFFFFF"/>
          <w:sz w:val="28"/>
          <w:szCs w:val="24"/>
        </w:rPr>
        <w:t xml:space="preserve"> - </w:t>
      </w:r>
      <w:r w:rsidR="00B0624E" w:rsidRPr="00165450">
        <w:rPr>
          <w:rFonts w:ascii="Arial" w:hAnsi="Arial" w:cs="Arial"/>
          <w:b/>
          <w:color w:val="FFFFFF"/>
          <w:sz w:val="28"/>
          <w:szCs w:val="24"/>
        </w:rPr>
        <w:t>Briefing Note</w:t>
      </w:r>
    </w:p>
    <w:p w14:paraId="0D978393" w14:textId="77777777" w:rsidR="00B0624E" w:rsidRPr="00267E4A" w:rsidRDefault="00B0624E">
      <w:pPr>
        <w:jc w:val="center"/>
        <w:rPr>
          <w:rFonts w:ascii="Arial" w:hAnsi="Arial" w:cs="Arial"/>
          <w:b/>
          <w:color w:val="000099"/>
          <w:sz w:val="24"/>
          <w:szCs w:val="24"/>
        </w:rPr>
      </w:pPr>
    </w:p>
    <w:p w14:paraId="089F65E3" w14:textId="77777777" w:rsidR="00B0624E" w:rsidRDefault="002B4347" w:rsidP="002B4347">
      <w:pPr>
        <w:tabs>
          <w:tab w:val="left" w:pos="5850"/>
        </w:tabs>
        <w:rPr>
          <w:rFonts w:ascii="Arial" w:hAnsi="Arial" w:cs="Arial"/>
          <w:b/>
          <w:color w:val="000099"/>
          <w:sz w:val="24"/>
          <w:szCs w:val="24"/>
        </w:rPr>
      </w:pPr>
      <w:r w:rsidRPr="00267E4A">
        <w:rPr>
          <w:rFonts w:ascii="Arial" w:hAnsi="Arial" w:cs="Arial"/>
          <w:b/>
          <w:color w:val="000099"/>
          <w:sz w:val="24"/>
          <w:szCs w:val="24"/>
        </w:rPr>
        <w:tab/>
      </w:r>
    </w:p>
    <w:p w14:paraId="661473E1" w14:textId="77777777" w:rsidR="00654B87" w:rsidRPr="00267E4A" w:rsidRDefault="00654B87" w:rsidP="002B4347">
      <w:pPr>
        <w:tabs>
          <w:tab w:val="left" w:pos="5850"/>
        </w:tabs>
        <w:rPr>
          <w:rFonts w:ascii="Arial" w:hAnsi="Arial" w:cs="Arial"/>
          <w:b/>
          <w:color w:val="000099"/>
          <w:sz w:val="24"/>
          <w:szCs w:val="24"/>
        </w:rPr>
      </w:pPr>
    </w:p>
    <w:tbl>
      <w:tblPr>
        <w:tblW w:w="964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3294"/>
        <w:gridCol w:w="1936"/>
        <w:gridCol w:w="1701"/>
        <w:gridCol w:w="2717"/>
      </w:tblGrid>
      <w:tr w:rsidR="00815937" w:rsidRPr="00267E4A" w14:paraId="2A780047" w14:textId="77777777" w:rsidTr="00150DA3">
        <w:trPr>
          <w:trHeight w:val="503"/>
        </w:trPr>
        <w:tc>
          <w:tcPr>
            <w:tcW w:w="3294" w:type="dxa"/>
            <w:tcBorders>
              <w:top w:val="double" w:sz="4" w:space="0" w:color="000099"/>
              <w:left w:val="double" w:sz="4" w:space="0" w:color="000099"/>
              <w:bottom w:val="double" w:sz="4" w:space="0" w:color="000099"/>
              <w:right w:val="double" w:sz="4" w:space="0" w:color="000099"/>
            </w:tcBorders>
            <w:vAlign w:val="center"/>
          </w:tcPr>
          <w:p w14:paraId="39AE6457" w14:textId="77777777" w:rsidR="00815937" w:rsidRPr="00267E4A" w:rsidRDefault="00A3505D">
            <w:pPr>
              <w:rPr>
                <w:rFonts w:ascii="Arial" w:hAnsi="Arial" w:cs="Arial"/>
                <w:b/>
                <w:color w:val="000099"/>
                <w:sz w:val="24"/>
                <w:szCs w:val="24"/>
              </w:rPr>
            </w:pPr>
            <w:r>
              <w:rPr>
                <w:rFonts w:ascii="Arial" w:hAnsi="Arial" w:cs="Arial"/>
                <w:b/>
                <w:color w:val="000099"/>
                <w:sz w:val="24"/>
                <w:szCs w:val="24"/>
              </w:rPr>
              <w:t>Agenda Item</w:t>
            </w:r>
            <w:r w:rsidR="00815937" w:rsidRPr="00267E4A">
              <w:rPr>
                <w:rFonts w:ascii="Arial" w:hAnsi="Arial" w:cs="Arial"/>
                <w:b/>
                <w:color w:val="000099"/>
                <w:sz w:val="24"/>
                <w:szCs w:val="24"/>
              </w:rPr>
              <w:t xml:space="preserve"> Number</w:t>
            </w:r>
          </w:p>
        </w:tc>
        <w:tc>
          <w:tcPr>
            <w:tcW w:w="1936" w:type="dxa"/>
            <w:tcBorders>
              <w:top w:val="double" w:sz="4" w:space="0" w:color="000099"/>
              <w:left w:val="double" w:sz="4" w:space="0" w:color="000099"/>
              <w:bottom w:val="double" w:sz="4" w:space="0" w:color="000099"/>
              <w:right w:val="double" w:sz="4" w:space="0" w:color="000099"/>
            </w:tcBorders>
            <w:vAlign w:val="center"/>
          </w:tcPr>
          <w:p w14:paraId="724C4321" w14:textId="77777777" w:rsidR="00815937" w:rsidRPr="00267E4A" w:rsidRDefault="00815937" w:rsidP="00872A3C">
            <w:pPr>
              <w:jc w:val="center"/>
              <w:rPr>
                <w:rFonts w:ascii="Arial" w:hAnsi="Arial" w:cs="Arial"/>
                <w:b/>
                <w:sz w:val="24"/>
                <w:szCs w:val="24"/>
              </w:rPr>
            </w:pPr>
          </w:p>
        </w:tc>
        <w:tc>
          <w:tcPr>
            <w:tcW w:w="1701" w:type="dxa"/>
            <w:tcBorders>
              <w:top w:val="double" w:sz="4" w:space="0" w:color="000099"/>
              <w:left w:val="double" w:sz="4" w:space="0" w:color="000099"/>
              <w:bottom w:val="double" w:sz="4" w:space="0" w:color="000099"/>
              <w:right w:val="double" w:sz="4" w:space="0" w:color="000099"/>
            </w:tcBorders>
            <w:vAlign w:val="center"/>
          </w:tcPr>
          <w:p w14:paraId="72B84DE9" w14:textId="77777777" w:rsidR="00815937" w:rsidRPr="00267E4A" w:rsidRDefault="00815937">
            <w:pPr>
              <w:rPr>
                <w:rFonts w:ascii="Arial" w:hAnsi="Arial" w:cs="Arial"/>
                <w:b/>
                <w:color w:val="000099"/>
                <w:sz w:val="24"/>
                <w:szCs w:val="24"/>
              </w:rPr>
            </w:pPr>
            <w:r w:rsidRPr="00267E4A">
              <w:rPr>
                <w:rFonts w:ascii="Arial" w:hAnsi="Arial" w:cs="Arial"/>
                <w:b/>
                <w:color w:val="000099"/>
                <w:sz w:val="24"/>
                <w:szCs w:val="24"/>
              </w:rPr>
              <w:t>Date</w:t>
            </w:r>
          </w:p>
        </w:tc>
        <w:tc>
          <w:tcPr>
            <w:tcW w:w="2717" w:type="dxa"/>
            <w:tcBorders>
              <w:top w:val="double" w:sz="4" w:space="0" w:color="000099"/>
              <w:left w:val="double" w:sz="4" w:space="0" w:color="000099"/>
              <w:bottom w:val="double" w:sz="4" w:space="0" w:color="000099"/>
              <w:right w:val="double" w:sz="4" w:space="0" w:color="000099"/>
            </w:tcBorders>
            <w:vAlign w:val="center"/>
          </w:tcPr>
          <w:p w14:paraId="2391C67A" w14:textId="77777777" w:rsidR="00815937" w:rsidRPr="00267E4A" w:rsidRDefault="00815937" w:rsidP="00872A3C">
            <w:pPr>
              <w:jc w:val="center"/>
              <w:rPr>
                <w:rFonts w:ascii="Arial" w:hAnsi="Arial" w:cs="Arial"/>
                <w:b/>
                <w:sz w:val="24"/>
                <w:szCs w:val="24"/>
              </w:rPr>
            </w:pPr>
          </w:p>
        </w:tc>
      </w:tr>
      <w:tr w:rsidR="00815937" w:rsidRPr="00267E4A" w14:paraId="5B4ED13E" w14:textId="77777777" w:rsidTr="00055188">
        <w:trPr>
          <w:trHeight w:val="964"/>
        </w:trPr>
        <w:tc>
          <w:tcPr>
            <w:tcW w:w="9648" w:type="dxa"/>
            <w:gridSpan w:val="4"/>
            <w:tcBorders>
              <w:top w:val="double" w:sz="4" w:space="0" w:color="000099"/>
              <w:left w:val="double" w:sz="4" w:space="0" w:color="000099"/>
              <w:bottom w:val="double" w:sz="4" w:space="0" w:color="000099"/>
              <w:right w:val="double" w:sz="4" w:space="0" w:color="000099"/>
            </w:tcBorders>
            <w:vAlign w:val="center"/>
          </w:tcPr>
          <w:p w14:paraId="58AF61FB" w14:textId="77777777" w:rsidR="00815937" w:rsidRPr="0071043B" w:rsidRDefault="0071043B" w:rsidP="0071043B">
            <w:pPr>
              <w:jc w:val="center"/>
              <w:rPr>
                <w:rFonts w:ascii="Arial" w:hAnsi="Arial" w:cs="Arial"/>
                <w:b/>
                <w:color w:val="000099"/>
                <w:sz w:val="24"/>
                <w:szCs w:val="24"/>
              </w:rPr>
            </w:pPr>
            <w:r w:rsidRPr="0071043B">
              <w:rPr>
                <w:rFonts w:ascii="Arial" w:hAnsi="Arial" w:cs="Arial"/>
                <w:b/>
                <w:color w:val="000099"/>
                <w:sz w:val="24"/>
                <w:szCs w:val="24"/>
              </w:rPr>
              <w:t>Kerslake Report: Fire and Rescue Service Actions</w:t>
            </w:r>
          </w:p>
        </w:tc>
      </w:tr>
    </w:tbl>
    <w:p w14:paraId="79BE2969" w14:textId="77777777" w:rsidR="00815937" w:rsidRPr="00267E4A" w:rsidRDefault="00815937">
      <w:pPr>
        <w:rPr>
          <w:rFonts w:ascii="Arial" w:hAnsi="Arial" w:cs="Arial"/>
          <w:b/>
          <w:color w:val="000099"/>
          <w:sz w:val="24"/>
          <w:szCs w:val="24"/>
        </w:rPr>
      </w:pPr>
    </w:p>
    <w:tbl>
      <w:tblPr>
        <w:tblW w:w="9648" w:type="dxa"/>
        <w:tblBorders>
          <w:top w:val="double" w:sz="4" w:space="0" w:color="000099"/>
          <w:left w:val="double" w:sz="4" w:space="0" w:color="000099"/>
          <w:bottom w:val="double" w:sz="4" w:space="0" w:color="000099"/>
          <w:right w:val="double" w:sz="4" w:space="0" w:color="000099"/>
          <w:insideH w:val="single" w:sz="6" w:space="0" w:color="000099"/>
          <w:insideV w:val="single" w:sz="6" w:space="0" w:color="000099"/>
        </w:tblBorders>
        <w:tblLook w:val="04A0" w:firstRow="1" w:lastRow="0" w:firstColumn="1" w:lastColumn="0" w:noHBand="0" w:noVBand="1"/>
      </w:tblPr>
      <w:tblGrid>
        <w:gridCol w:w="1617"/>
        <w:gridCol w:w="8031"/>
      </w:tblGrid>
      <w:tr w:rsidR="00815937" w:rsidRPr="00267E4A" w14:paraId="02CEAB61" w14:textId="77777777" w:rsidTr="00165450">
        <w:trPr>
          <w:trHeight w:val="505"/>
        </w:trPr>
        <w:tc>
          <w:tcPr>
            <w:tcW w:w="1617" w:type="dxa"/>
            <w:vAlign w:val="center"/>
          </w:tcPr>
          <w:p w14:paraId="0F47A4F2" w14:textId="77777777" w:rsidR="00815937" w:rsidRPr="00267E4A" w:rsidRDefault="00815937">
            <w:pPr>
              <w:ind w:left="567" w:hanging="567"/>
              <w:rPr>
                <w:rFonts w:ascii="Arial" w:hAnsi="Arial" w:cs="Arial"/>
                <w:b/>
                <w:color w:val="000099"/>
                <w:sz w:val="24"/>
                <w:szCs w:val="24"/>
              </w:rPr>
            </w:pPr>
            <w:r w:rsidRPr="00267E4A">
              <w:rPr>
                <w:rFonts w:ascii="Arial" w:hAnsi="Arial" w:cs="Arial"/>
                <w:b/>
                <w:color w:val="000099"/>
                <w:sz w:val="24"/>
                <w:szCs w:val="24"/>
              </w:rPr>
              <w:t>To</w:t>
            </w:r>
          </w:p>
        </w:tc>
        <w:tc>
          <w:tcPr>
            <w:tcW w:w="8031" w:type="dxa"/>
            <w:vAlign w:val="center"/>
          </w:tcPr>
          <w:p w14:paraId="4A8F9EDF" w14:textId="77777777" w:rsidR="00815937" w:rsidRPr="00267E4A" w:rsidRDefault="00815937" w:rsidP="00954336">
            <w:pPr>
              <w:ind w:left="567" w:hanging="567"/>
              <w:rPr>
                <w:rFonts w:ascii="Arial" w:hAnsi="Arial" w:cs="Arial"/>
                <w:sz w:val="24"/>
                <w:szCs w:val="24"/>
              </w:rPr>
            </w:pPr>
          </w:p>
        </w:tc>
      </w:tr>
      <w:tr w:rsidR="00815937" w:rsidRPr="00267E4A" w14:paraId="7A752A47" w14:textId="77777777" w:rsidTr="00D82E96">
        <w:trPr>
          <w:trHeight w:val="502"/>
        </w:trPr>
        <w:tc>
          <w:tcPr>
            <w:tcW w:w="1617" w:type="dxa"/>
            <w:vAlign w:val="center"/>
          </w:tcPr>
          <w:p w14:paraId="4D915DF6" w14:textId="77777777" w:rsidR="00815937" w:rsidRPr="00267E4A" w:rsidRDefault="00815937">
            <w:pPr>
              <w:rPr>
                <w:rFonts w:ascii="Arial" w:hAnsi="Arial" w:cs="Arial"/>
                <w:b/>
                <w:color w:val="000099"/>
                <w:sz w:val="24"/>
                <w:szCs w:val="24"/>
              </w:rPr>
            </w:pPr>
            <w:r w:rsidRPr="00267E4A">
              <w:rPr>
                <w:rFonts w:ascii="Arial" w:hAnsi="Arial" w:cs="Arial"/>
                <w:b/>
                <w:color w:val="000099"/>
                <w:sz w:val="24"/>
                <w:szCs w:val="24"/>
              </w:rPr>
              <w:t>Issued By</w:t>
            </w:r>
          </w:p>
        </w:tc>
        <w:tc>
          <w:tcPr>
            <w:tcW w:w="8031" w:type="dxa"/>
            <w:vAlign w:val="center"/>
          </w:tcPr>
          <w:p w14:paraId="5CCE8946" w14:textId="77777777" w:rsidR="008C5C1E" w:rsidRPr="00267E4A" w:rsidRDefault="008C5C1E">
            <w:pPr>
              <w:rPr>
                <w:rFonts w:ascii="Arial" w:hAnsi="Arial" w:cs="Arial"/>
                <w:color w:val="000099"/>
                <w:sz w:val="24"/>
                <w:szCs w:val="24"/>
              </w:rPr>
            </w:pPr>
          </w:p>
        </w:tc>
      </w:tr>
    </w:tbl>
    <w:p w14:paraId="7BE3DC8D" w14:textId="77777777" w:rsidR="00815937" w:rsidRPr="00267E4A" w:rsidRDefault="00815937">
      <w:pPr>
        <w:rPr>
          <w:rFonts w:ascii="Arial" w:hAnsi="Arial" w:cs="Arial"/>
          <w:b/>
          <w:color w:val="000099"/>
          <w:sz w:val="24"/>
          <w:szCs w:val="24"/>
        </w:rPr>
      </w:pPr>
    </w:p>
    <w:tbl>
      <w:tblPr>
        <w:tblW w:w="9648" w:type="dxa"/>
        <w:tblBorders>
          <w:top w:val="double" w:sz="4" w:space="0" w:color="000099"/>
          <w:left w:val="double" w:sz="4" w:space="0" w:color="000099"/>
          <w:bottom w:val="double" w:sz="4" w:space="0" w:color="000099"/>
          <w:right w:val="double" w:sz="4" w:space="0" w:color="000099"/>
          <w:insideH w:val="double" w:sz="4" w:space="0" w:color="000099"/>
          <w:insideV w:val="double" w:sz="4" w:space="0" w:color="000099"/>
        </w:tblBorders>
        <w:tblLayout w:type="fixed"/>
        <w:tblLook w:val="04A0" w:firstRow="1" w:lastRow="0" w:firstColumn="1" w:lastColumn="0" w:noHBand="0" w:noVBand="1"/>
      </w:tblPr>
      <w:tblGrid>
        <w:gridCol w:w="3237"/>
        <w:gridCol w:w="2109"/>
        <w:gridCol w:w="4260"/>
        <w:gridCol w:w="42"/>
      </w:tblGrid>
      <w:tr w:rsidR="00815937" w:rsidRPr="00267E4A" w14:paraId="2A2D26D0" w14:textId="77777777" w:rsidTr="00B756D7">
        <w:trPr>
          <w:gridAfter w:val="1"/>
          <w:wAfter w:w="42" w:type="dxa"/>
          <w:trHeight w:val="429"/>
        </w:trPr>
        <w:tc>
          <w:tcPr>
            <w:tcW w:w="9606" w:type="dxa"/>
            <w:gridSpan w:val="3"/>
            <w:vAlign w:val="center"/>
          </w:tcPr>
          <w:p w14:paraId="6F9109AD" w14:textId="77777777" w:rsidR="00815937" w:rsidRPr="00267E4A" w:rsidRDefault="00815937">
            <w:pPr>
              <w:ind w:left="567" w:hanging="567"/>
              <w:rPr>
                <w:rFonts w:ascii="Arial" w:hAnsi="Arial" w:cs="Arial"/>
                <w:b/>
                <w:color w:val="000099"/>
                <w:sz w:val="24"/>
                <w:szCs w:val="24"/>
              </w:rPr>
            </w:pPr>
            <w:bookmarkStart w:id="0" w:name="_Hlk491097842"/>
            <w:r w:rsidRPr="00267E4A">
              <w:rPr>
                <w:rFonts w:ascii="Arial" w:hAnsi="Arial" w:cs="Arial"/>
                <w:b/>
                <w:color w:val="000099"/>
                <w:sz w:val="24"/>
                <w:szCs w:val="24"/>
              </w:rPr>
              <w:t>Summary</w:t>
            </w:r>
            <w:bookmarkEnd w:id="0"/>
          </w:p>
        </w:tc>
      </w:tr>
      <w:tr w:rsidR="00815937" w:rsidRPr="00267E4A" w14:paraId="5969519A" w14:textId="77777777" w:rsidTr="00B756D7">
        <w:trPr>
          <w:gridAfter w:val="1"/>
          <w:wAfter w:w="42" w:type="dxa"/>
          <w:trHeight w:val="824"/>
        </w:trPr>
        <w:tc>
          <w:tcPr>
            <w:tcW w:w="9606" w:type="dxa"/>
            <w:gridSpan w:val="3"/>
            <w:vAlign w:val="center"/>
          </w:tcPr>
          <w:p w14:paraId="2136C1DF" w14:textId="77777777" w:rsidR="00867E40" w:rsidRDefault="00867E40" w:rsidP="006C710D">
            <w:pPr>
              <w:rPr>
                <w:rFonts w:ascii="Arial" w:hAnsi="Arial" w:cs="Arial"/>
                <w:bCs/>
                <w:sz w:val="24"/>
                <w:szCs w:val="24"/>
              </w:rPr>
            </w:pPr>
          </w:p>
          <w:p w14:paraId="4CB8465A" w14:textId="77777777" w:rsidR="0071043B" w:rsidRPr="00B756D7" w:rsidRDefault="0071043B" w:rsidP="00F57739">
            <w:pPr>
              <w:spacing w:after="150" w:line="240" w:lineRule="auto"/>
              <w:jc w:val="both"/>
              <w:rPr>
                <w:rFonts w:ascii="Arial" w:hAnsi="Arial" w:cs="Arial"/>
                <w:spacing w:val="0"/>
                <w:sz w:val="22"/>
                <w:szCs w:val="22"/>
                <w:lang w:val="en" w:eastAsia="en-GB"/>
              </w:rPr>
            </w:pPr>
            <w:r w:rsidRPr="00B756D7">
              <w:rPr>
                <w:rFonts w:ascii="Arial" w:hAnsi="Arial" w:cs="Arial"/>
                <w:bCs/>
                <w:sz w:val="22"/>
                <w:szCs w:val="22"/>
              </w:rPr>
              <w:t xml:space="preserve">Following the Manchester Arena attack </w:t>
            </w:r>
            <w:r w:rsidR="00423C91" w:rsidRPr="00B756D7">
              <w:rPr>
                <w:rFonts w:ascii="Arial" w:hAnsi="Arial" w:cs="Arial"/>
                <w:bCs/>
                <w:sz w:val="22"/>
                <w:szCs w:val="22"/>
              </w:rPr>
              <w:t xml:space="preserve">on </w:t>
            </w:r>
            <w:r w:rsidRPr="00B756D7">
              <w:rPr>
                <w:rFonts w:ascii="Arial" w:hAnsi="Arial" w:cs="Arial"/>
                <w:bCs/>
                <w:sz w:val="22"/>
                <w:szCs w:val="22"/>
              </w:rPr>
              <w:t>22</w:t>
            </w:r>
            <w:r w:rsidRPr="00B756D7">
              <w:rPr>
                <w:rFonts w:ascii="Arial" w:hAnsi="Arial" w:cs="Arial"/>
                <w:bCs/>
                <w:sz w:val="22"/>
                <w:szCs w:val="22"/>
                <w:vertAlign w:val="superscript"/>
              </w:rPr>
              <w:t>nd</w:t>
            </w:r>
            <w:r w:rsidRPr="00B756D7">
              <w:rPr>
                <w:rFonts w:ascii="Arial" w:hAnsi="Arial" w:cs="Arial"/>
                <w:bCs/>
                <w:sz w:val="22"/>
                <w:szCs w:val="22"/>
              </w:rPr>
              <w:t xml:space="preserve"> May 2017; Andy Burnham (</w:t>
            </w:r>
            <w:r w:rsidR="00423C91" w:rsidRPr="00B756D7">
              <w:rPr>
                <w:rFonts w:ascii="Arial" w:hAnsi="Arial" w:cs="Arial"/>
                <w:bCs/>
                <w:sz w:val="22"/>
                <w:szCs w:val="22"/>
              </w:rPr>
              <w:t xml:space="preserve">Metro </w:t>
            </w:r>
            <w:r w:rsidRPr="00B756D7">
              <w:rPr>
                <w:rFonts w:ascii="Arial" w:hAnsi="Arial" w:cs="Arial"/>
                <w:bCs/>
                <w:sz w:val="22"/>
                <w:szCs w:val="22"/>
              </w:rPr>
              <w:t xml:space="preserve">Mayor of Greater Manchester) </w:t>
            </w:r>
            <w:r w:rsidR="005A4C8A">
              <w:rPr>
                <w:rFonts w:ascii="Arial" w:hAnsi="Arial" w:cs="Arial"/>
                <w:bCs/>
                <w:sz w:val="22"/>
                <w:szCs w:val="22"/>
              </w:rPr>
              <w:t>initiated a review into the response</w:t>
            </w:r>
            <w:r w:rsidR="00E80F60" w:rsidRPr="00B756D7">
              <w:rPr>
                <w:rFonts w:ascii="Arial" w:hAnsi="Arial" w:cs="Arial"/>
                <w:bCs/>
                <w:sz w:val="22"/>
                <w:szCs w:val="22"/>
              </w:rPr>
              <w:t xml:space="preserve">. A panel was assembled </w:t>
            </w:r>
            <w:r w:rsidRPr="00B756D7">
              <w:rPr>
                <w:rFonts w:ascii="Arial" w:hAnsi="Arial" w:cs="Arial"/>
                <w:bCs/>
                <w:sz w:val="22"/>
                <w:szCs w:val="22"/>
              </w:rPr>
              <w:t xml:space="preserve">chaired by </w:t>
            </w:r>
            <w:r w:rsidRPr="00B756D7">
              <w:rPr>
                <w:rFonts w:ascii="Arial" w:hAnsi="Arial" w:cs="Arial"/>
                <w:spacing w:val="0"/>
                <w:sz w:val="22"/>
                <w:szCs w:val="22"/>
                <w:lang w:val="en" w:eastAsia="en-GB"/>
              </w:rPr>
              <w:t xml:space="preserve">Lord Bob Kerslake, the former Head of the Civil Service. The panel’s task was to </w:t>
            </w:r>
            <w:r w:rsidR="005A4C8A">
              <w:rPr>
                <w:rFonts w:ascii="Arial" w:hAnsi="Arial" w:cs="Arial"/>
                <w:spacing w:val="0"/>
                <w:sz w:val="22"/>
                <w:szCs w:val="22"/>
                <w:lang w:val="en" w:eastAsia="en-GB"/>
              </w:rPr>
              <w:t>identify</w:t>
            </w:r>
            <w:r w:rsidRPr="00B756D7">
              <w:rPr>
                <w:rFonts w:ascii="Arial" w:hAnsi="Arial" w:cs="Arial"/>
                <w:spacing w:val="0"/>
                <w:sz w:val="22"/>
                <w:szCs w:val="22"/>
                <w:lang w:val="en" w:eastAsia="en-GB"/>
              </w:rPr>
              <w:t xml:space="preserve"> </w:t>
            </w:r>
            <w:r w:rsidR="005A4C8A">
              <w:rPr>
                <w:rFonts w:ascii="Arial" w:hAnsi="Arial" w:cs="Arial"/>
                <w:spacing w:val="0"/>
                <w:sz w:val="22"/>
                <w:szCs w:val="22"/>
                <w:lang w:val="en" w:eastAsia="en-GB"/>
              </w:rPr>
              <w:t xml:space="preserve">both </w:t>
            </w:r>
            <w:r w:rsidRPr="00B756D7">
              <w:rPr>
                <w:rFonts w:ascii="Arial" w:hAnsi="Arial" w:cs="Arial"/>
                <w:spacing w:val="0"/>
                <w:sz w:val="22"/>
                <w:szCs w:val="22"/>
                <w:lang w:val="en" w:eastAsia="en-GB"/>
              </w:rPr>
              <w:t xml:space="preserve">what </w:t>
            </w:r>
            <w:r w:rsidR="005A4C8A">
              <w:rPr>
                <w:rFonts w:ascii="Arial" w:hAnsi="Arial" w:cs="Arial"/>
                <w:spacing w:val="0"/>
                <w:sz w:val="22"/>
                <w:szCs w:val="22"/>
                <w:lang w:val="en" w:eastAsia="en-GB"/>
              </w:rPr>
              <w:t xml:space="preserve">went well following the attack in addition to </w:t>
            </w:r>
            <w:r w:rsidRPr="00B756D7">
              <w:rPr>
                <w:rFonts w:ascii="Arial" w:hAnsi="Arial" w:cs="Arial"/>
                <w:spacing w:val="0"/>
                <w:sz w:val="22"/>
                <w:szCs w:val="22"/>
                <w:lang w:val="en" w:eastAsia="en-GB"/>
              </w:rPr>
              <w:t>major issues for learning. The subsequent findings of that review were published 27</w:t>
            </w:r>
            <w:r w:rsidRPr="00B756D7">
              <w:rPr>
                <w:rFonts w:ascii="Arial" w:hAnsi="Arial" w:cs="Arial"/>
                <w:spacing w:val="0"/>
                <w:sz w:val="22"/>
                <w:szCs w:val="22"/>
                <w:vertAlign w:val="superscript"/>
                <w:lang w:val="en" w:eastAsia="en-GB"/>
              </w:rPr>
              <w:t>th</w:t>
            </w:r>
            <w:r w:rsidRPr="00B756D7">
              <w:rPr>
                <w:rFonts w:ascii="Arial" w:hAnsi="Arial" w:cs="Arial"/>
                <w:spacing w:val="0"/>
                <w:sz w:val="22"/>
                <w:szCs w:val="22"/>
                <w:lang w:val="en" w:eastAsia="en-GB"/>
              </w:rPr>
              <w:t xml:space="preserve"> March 2018 and a</w:t>
            </w:r>
            <w:r w:rsidR="00423C91" w:rsidRPr="00B756D7">
              <w:rPr>
                <w:rFonts w:ascii="Arial" w:hAnsi="Arial" w:cs="Arial"/>
                <w:spacing w:val="0"/>
                <w:sz w:val="22"/>
                <w:szCs w:val="22"/>
                <w:lang w:val="en" w:eastAsia="en-GB"/>
              </w:rPr>
              <w:t>re</w:t>
            </w:r>
            <w:r w:rsidRPr="00B756D7">
              <w:rPr>
                <w:rFonts w:ascii="Arial" w:hAnsi="Arial" w:cs="Arial"/>
                <w:spacing w:val="0"/>
                <w:sz w:val="22"/>
                <w:szCs w:val="22"/>
                <w:lang w:val="en" w:eastAsia="en-GB"/>
              </w:rPr>
              <w:t xml:space="preserve"> referred to within </w:t>
            </w:r>
            <w:r w:rsidR="00423C91" w:rsidRPr="00B756D7">
              <w:rPr>
                <w:rFonts w:ascii="Arial" w:hAnsi="Arial" w:cs="Arial"/>
                <w:spacing w:val="0"/>
                <w:sz w:val="22"/>
                <w:szCs w:val="22"/>
                <w:lang w:val="en" w:eastAsia="en-GB"/>
              </w:rPr>
              <w:t xml:space="preserve">what has become known as </w:t>
            </w:r>
            <w:r w:rsidRPr="00B756D7">
              <w:rPr>
                <w:rFonts w:ascii="Arial" w:hAnsi="Arial" w:cs="Arial"/>
                <w:spacing w:val="0"/>
                <w:sz w:val="22"/>
                <w:szCs w:val="22"/>
                <w:lang w:val="en" w:eastAsia="en-GB"/>
              </w:rPr>
              <w:t xml:space="preserve">the </w:t>
            </w:r>
            <w:r w:rsidRPr="00B756D7">
              <w:rPr>
                <w:rFonts w:ascii="Arial" w:hAnsi="Arial" w:cs="Arial"/>
                <w:b/>
                <w:i/>
                <w:spacing w:val="0"/>
                <w:sz w:val="22"/>
                <w:szCs w:val="22"/>
                <w:lang w:val="en" w:eastAsia="en-GB"/>
              </w:rPr>
              <w:t>Kerslake Report.</w:t>
            </w:r>
          </w:p>
          <w:p w14:paraId="546FC954" w14:textId="77777777" w:rsidR="0071043B" w:rsidRPr="00B756D7" w:rsidRDefault="0071043B" w:rsidP="00F57739">
            <w:pPr>
              <w:spacing w:after="150" w:line="240" w:lineRule="auto"/>
              <w:jc w:val="both"/>
              <w:rPr>
                <w:rFonts w:ascii="Arial" w:hAnsi="Arial" w:cs="Arial"/>
                <w:spacing w:val="0"/>
                <w:sz w:val="22"/>
                <w:szCs w:val="22"/>
                <w:lang w:val="en" w:eastAsia="en-GB"/>
              </w:rPr>
            </w:pPr>
            <w:r w:rsidRPr="00B756D7">
              <w:rPr>
                <w:rFonts w:ascii="Arial" w:hAnsi="Arial" w:cs="Arial"/>
                <w:spacing w:val="0"/>
                <w:sz w:val="22"/>
                <w:szCs w:val="22"/>
                <w:lang w:val="en" w:eastAsia="en-GB"/>
              </w:rPr>
              <w:t xml:space="preserve">Within the report are a </w:t>
            </w:r>
            <w:r w:rsidR="00423C91" w:rsidRPr="00B756D7">
              <w:rPr>
                <w:rFonts w:ascii="Arial" w:hAnsi="Arial" w:cs="Arial"/>
                <w:spacing w:val="0"/>
                <w:sz w:val="22"/>
                <w:szCs w:val="22"/>
                <w:lang w:val="en" w:eastAsia="en-GB"/>
              </w:rPr>
              <w:t>series</w:t>
            </w:r>
            <w:r w:rsidRPr="00B756D7">
              <w:rPr>
                <w:rFonts w:ascii="Arial" w:hAnsi="Arial" w:cs="Arial"/>
                <w:spacing w:val="0"/>
                <w:sz w:val="22"/>
                <w:szCs w:val="22"/>
                <w:lang w:val="en" w:eastAsia="en-GB"/>
              </w:rPr>
              <w:t xml:space="preserve"> of recommendations specifically categorised into ’themes’:</w:t>
            </w:r>
          </w:p>
          <w:p w14:paraId="5F8B852A" w14:textId="77777777" w:rsidR="0071043B" w:rsidRPr="00B756D7" w:rsidRDefault="0071043B" w:rsidP="0071043B">
            <w:pPr>
              <w:pStyle w:val="ListParagraph"/>
              <w:numPr>
                <w:ilvl w:val="0"/>
                <w:numId w:val="12"/>
              </w:numPr>
              <w:spacing w:after="150" w:line="240" w:lineRule="auto"/>
              <w:rPr>
                <w:rFonts w:ascii="Arial" w:hAnsi="Arial" w:cs="Arial"/>
                <w:spacing w:val="0"/>
                <w:sz w:val="22"/>
                <w:szCs w:val="22"/>
                <w:lang w:val="en" w:eastAsia="en-GB"/>
              </w:rPr>
            </w:pPr>
            <w:r w:rsidRPr="00B756D7">
              <w:rPr>
                <w:rFonts w:ascii="Arial" w:hAnsi="Arial" w:cs="Arial"/>
                <w:spacing w:val="0"/>
                <w:sz w:val="22"/>
                <w:szCs w:val="22"/>
                <w:lang w:val="en" w:eastAsia="en-GB"/>
              </w:rPr>
              <w:t>Local Multi-Agency Recommendations</w:t>
            </w:r>
          </w:p>
          <w:p w14:paraId="06807A72" w14:textId="77777777" w:rsidR="0071043B" w:rsidRPr="00B756D7" w:rsidRDefault="0071043B" w:rsidP="0071043B">
            <w:pPr>
              <w:pStyle w:val="ListParagraph"/>
              <w:numPr>
                <w:ilvl w:val="0"/>
                <w:numId w:val="12"/>
              </w:numPr>
              <w:spacing w:after="150" w:line="240" w:lineRule="auto"/>
              <w:rPr>
                <w:rFonts w:ascii="Arial" w:hAnsi="Arial" w:cs="Arial"/>
                <w:spacing w:val="0"/>
                <w:sz w:val="22"/>
                <w:szCs w:val="22"/>
                <w:lang w:val="en" w:eastAsia="en-GB"/>
              </w:rPr>
            </w:pPr>
            <w:r w:rsidRPr="00B756D7">
              <w:rPr>
                <w:rFonts w:ascii="Arial" w:hAnsi="Arial" w:cs="Arial"/>
                <w:spacing w:val="0"/>
                <w:sz w:val="22"/>
                <w:szCs w:val="22"/>
                <w:lang w:val="en" w:eastAsia="en-GB"/>
              </w:rPr>
              <w:t xml:space="preserve">Fire and Rescue Services </w:t>
            </w:r>
            <w:r w:rsidR="00F57739" w:rsidRPr="00B756D7">
              <w:rPr>
                <w:rFonts w:ascii="Arial" w:hAnsi="Arial" w:cs="Arial"/>
                <w:spacing w:val="0"/>
                <w:sz w:val="22"/>
                <w:szCs w:val="22"/>
                <w:lang w:val="en" w:eastAsia="en-GB"/>
              </w:rPr>
              <w:t>Recommendations</w:t>
            </w:r>
          </w:p>
          <w:p w14:paraId="09E62742" w14:textId="77777777" w:rsidR="00F57739" w:rsidRPr="00B756D7" w:rsidRDefault="00F57739" w:rsidP="0071043B">
            <w:pPr>
              <w:pStyle w:val="ListParagraph"/>
              <w:numPr>
                <w:ilvl w:val="0"/>
                <w:numId w:val="12"/>
              </w:numPr>
              <w:spacing w:after="150" w:line="240" w:lineRule="auto"/>
              <w:rPr>
                <w:rFonts w:ascii="Arial" w:hAnsi="Arial" w:cs="Arial"/>
                <w:spacing w:val="0"/>
                <w:sz w:val="22"/>
                <w:szCs w:val="22"/>
                <w:lang w:val="en" w:eastAsia="en-GB"/>
              </w:rPr>
            </w:pPr>
            <w:r w:rsidRPr="00B756D7">
              <w:rPr>
                <w:rFonts w:ascii="Arial" w:hAnsi="Arial" w:cs="Arial"/>
                <w:spacing w:val="0"/>
                <w:sz w:val="22"/>
                <w:szCs w:val="22"/>
                <w:lang w:val="en" w:eastAsia="en-GB"/>
              </w:rPr>
              <w:t>Greater Manchester Police Recommendations</w:t>
            </w:r>
          </w:p>
          <w:p w14:paraId="5D7CB929" w14:textId="77777777" w:rsidR="00F57739" w:rsidRPr="00B756D7" w:rsidRDefault="00F57739" w:rsidP="0071043B">
            <w:pPr>
              <w:pStyle w:val="ListParagraph"/>
              <w:numPr>
                <w:ilvl w:val="0"/>
                <w:numId w:val="12"/>
              </w:numPr>
              <w:spacing w:after="150" w:line="240" w:lineRule="auto"/>
              <w:rPr>
                <w:rFonts w:ascii="Arial" w:hAnsi="Arial" w:cs="Arial"/>
                <w:spacing w:val="0"/>
                <w:sz w:val="22"/>
                <w:szCs w:val="22"/>
                <w:lang w:val="en" w:eastAsia="en-GB"/>
              </w:rPr>
            </w:pPr>
            <w:r w:rsidRPr="00B756D7">
              <w:rPr>
                <w:rFonts w:ascii="Arial" w:hAnsi="Arial" w:cs="Arial"/>
                <w:spacing w:val="0"/>
                <w:sz w:val="22"/>
                <w:szCs w:val="22"/>
                <w:lang w:val="en" w:eastAsia="en-GB"/>
              </w:rPr>
              <w:t>National Emergency Response Recommendations</w:t>
            </w:r>
          </w:p>
          <w:p w14:paraId="14D83DDA" w14:textId="77777777" w:rsidR="00F57739" w:rsidRPr="00B756D7" w:rsidRDefault="00F57739" w:rsidP="0071043B">
            <w:pPr>
              <w:pStyle w:val="ListParagraph"/>
              <w:numPr>
                <w:ilvl w:val="0"/>
                <w:numId w:val="12"/>
              </w:numPr>
              <w:spacing w:after="150" w:line="240" w:lineRule="auto"/>
              <w:rPr>
                <w:rFonts w:ascii="Arial" w:hAnsi="Arial" w:cs="Arial"/>
                <w:spacing w:val="0"/>
                <w:sz w:val="22"/>
                <w:szCs w:val="22"/>
                <w:lang w:val="en" w:eastAsia="en-GB"/>
              </w:rPr>
            </w:pPr>
            <w:r w:rsidRPr="00B756D7">
              <w:rPr>
                <w:rFonts w:ascii="Arial" w:hAnsi="Arial" w:cs="Arial"/>
                <w:spacing w:val="0"/>
                <w:sz w:val="22"/>
                <w:szCs w:val="22"/>
                <w:lang w:val="en" w:eastAsia="en-GB"/>
              </w:rPr>
              <w:t>Press and Media in Emergencies</w:t>
            </w:r>
          </w:p>
          <w:p w14:paraId="46C99382" w14:textId="77777777" w:rsidR="00F57739" w:rsidRPr="00B756D7" w:rsidRDefault="00F57739" w:rsidP="00F57739">
            <w:pPr>
              <w:spacing w:after="150" w:line="240" w:lineRule="auto"/>
              <w:jc w:val="both"/>
              <w:rPr>
                <w:rFonts w:ascii="Arial" w:hAnsi="Arial" w:cs="Arial"/>
                <w:spacing w:val="0"/>
                <w:sz w:val="22"/>
                <w:szCs w:val="22"/>
                <w:lang w:val="en" w:eastAsia="en-GB"/>
              </w:rPr>
            </w:pPr>
            <w:r w:rsidRPr="00B756D7">
              <w:rPr>
                <w:rFonts w:ascii="Arial" w:hAnsi="Arial" w:cs="Arial"/>
                <w:spacing w:val="0"/>
                <w:sz w:val="22"/>
                <w:szCs w:val="22"/>
                <w:lang w:val="en" w:eastAsia="en-GB"/>
              </w:rPr>
              <w:t>On first reading it may appear that the recommendations for the Fi</w:t>
            </w:r>
            <w:r w:rsidR="005A4C8A">
              <w:rPr>
                <w:rFonts w:ascii="Arial" w:hAnsi="Arial" w:cs="Arial"/>
                <w:spacing w:val="0"/>
                <w:sz w:val="22"/>
                <w:szCs w:val="22"/>
                <w:lang w:val="en" w:eastAsia="en-GB"/>
              </w:rPr>
              <w:t>re and Rescue Service</w:t>
            </w:r>
            <w:r w:rsidRPr="00B756D7">
              <w:rPr>
                <w:rFonts w:ascii="Arial" w:hAnsi="Arial" w:cs="Arial"/>
                <w:spacing w:val="0"/>
                <w:sz w:val="22"/>
                <w:szCs w:val="22"/>
                <w:lang w:val="en" w:eastAsia="en-GB"/>
              </w:rPr>
              <w:t xml:space="preserve"> are solely contained within the Fire and Rescue Services’ section of the report; however, further analysis has shown clear commonality within areas associated with interoperability and partner working that are fundamental at major incidents such as this. Consequently, this report seeks to summarise all recommendations considered relevant and present them for discussion and ratification via the </w:t>
            </w:r>
            <w:r w:rsidR="00423C91" w:rsidRPr="00B756D7">
              <w:rPr>
                <w:rFonts w:ascii="Arial" w:hAnsi="Arial" w:cs="Arial"/>
                <w:spacing w:val="0"/>
                <w:sz w:val="22"/>
                <w:szCs w:val="22"/>
                <w:lang w:val="en" w:eastAsia="en-GB"/>
              </w:rPr>
              <w:t>NFCC Operations Coordination Committee</w:t>
            </w:r>
            <w:r w:rsidRPr="00B756D7">
              <w:rPr>
                <w:rFonts w:ascii="Arial" w:hAnsi="Arial" w:cs="Arial"/>
                <w:spacing w:val="0"/>
                <w:sz w:val="22"/>
                <w:szCs w:val="22"/>
                <w:lang w:val="en" w:eastAsia="en-GB"/>
              </w:rPr>
              <w:t>.</w:t>
            </w:r>
          </w:p>
          <w:p w14:paraId="3E2CCEB9" w14:textId="77777777" w:rsidR="00DD3FCD" w:rsidRPr="00B756D7" w:rsidRDefault="00DD3FCD" w:rsidP="00F57739">
            <w:pPr>
              <w:spacing w:after="150" w:line="240" w:lineRule="auto"/>
              <w:jc w:val="both"/>
              <w:rPr>
                <w:rFonts w:ascii="Arial" w:hAnsi="Arial" w:cs="Arial"/>
                <w:spacing w:val="0"/>
                <w:sz w:val="22"/>
                <w:szCs w:val="22"/>
                <w:lang w:val="en" w:eastAsia="en-GB"/>
              </w:rPr>
            </w:pPr>
            <w:r w:rsidRPr="00B756D7">
              <w:rPr>
                <w:rFonts w:ascii="Arial" w:hAnsi="Arial" w:cs="Arial"/>
                <w:spacing w:val="0"/>
                <w:sz w:val="22"/>
                <w:szCs w:val="22"/>
                <w:lang w:val="en" w:eastAsia="en-GB"/>
              </w:rPr>
              <w:t>The recommendations are presented in tabular format under the following headings:</w:t>
            </w:r>
          </w:p>
          <w:p w14:paraId="580369A5" w14:textId="77777777" w:rsidR="00DD3FCD" w:rsidRPr="00B756D7" w:rsidRDefault="00DD3FCD" w:rsidP="00DD3FCD">
            <w:pPr>
              <w:pStyle w:val="ListParagraph"/>
              <w:numPr>
                <w:ilvl w:val="0"/>
                <w:numId w:val="13"/>
              </w:numPr>
              <w:spacing w:after="150" w:line="240" w:lineRule="auto"/>
              <w:jc w:val="both"/>
              <w:rPr>
                <w:rFonts w:ascii="Arial" w:hAnsi="Arial" w:cs="Arial"/>
                <w:spacing w:val="0"/>
                <w:sz w:val="22"/>
                <w:szCs w:val="22"/>
                <w:lang w:val="en" w:eastAsia="en-GB"/>
              </w:rPr>
            </w:pPr>
            <w:r w:rsidRPr="00B756D7">
              <w:rPr>
                <w:rFonts w:ascii="Arial" w:hAnsi="Arial" w:cs="Arial"/>
                <w:spacing w:val="0"/>
                <w:sz w:val="22"/>
                <w:szCs w:val="22"/>
                <w:lang w:val="en" w:eastAsia="en-GB"/>
              </w:rPr>
              <w:t>Fire and Rescue Service Recommendations</w:t>
            </w:r>
          </w:p>
          <w:p w14:paraId="15F8C200" w14:textId="77777777" w:rsidR="00DD3FCD" w:rsidRPr="00B756D7" w:rsidRDefault="00DD3FCD" w:rsidP="00DD3FCD">
            <w:pPr>
              <w:pStyle w:val="ListParagraph"/>
              <w:numPr>
                <w:ilvl w:val="0"/>
                <w:numId w:val="13"/>
              </w:numPr>
              <w:spacing w:after="150" w:line="240" w:lineRule="auto"/>
              <w:jc w:val="both"/>
              <w:rPr>
                <w:rFonts w:ascii="Arial" w:hAnsi="Arial" w:cs="Arial"/>
                <w:spacing w:val="0"/>
                <w:sz w:val="22"/>
                <w:szCs w:val="22"/>
                <w:lang w:val="en" w:eastAsia="en-GB"/>
              </w:rPr>
            </w:pPr>
            <w:r w:rsidRPr="00B756D7">
              <w:rPr>
                <w:rFonts w:ascii="Arial" w:hAnsi="Arial" w:cs="Arial"/>
                <w:spacing w:val="0"/>
                <w:sz w:val="22"/>
                <w:szCs w:val="22"/>
                <w:lang w:val="en" w:eastAsia="en-GB"/>
              </w:rPr>
              <w:t>Multi-Agency Recommendations</w:t>
            </w:r>
          </w:p>
          <w:p w14:paraId="0337326D" w14:textId="77777777" w:rsidR="00DD3FCD" w:rsidRDefault="00791D8F" w:rsidP="00E80F60">
            <w:pPr>
              <w:spacing w:after="150" w:line="240" w:lineRule="auto"/>
              <w:jc w:val="both"/>
              <w:rPr>
                <w:rFonts w:ascii="Arial" w:hAnsi="Arial" w:cs="Arial"/>
                <w:spacing w:val="0"/>
                <w:sz w:val="22"/>
                <w:szCs w:val="22"/>
                <w:lang w:val="en" w:eastAsia="en-GB"/>
              </w:rPr>
            </w:pPr>
            <w:r w:rsidRPr="00B756D7">
              <w:rPr>
                <w:rFonts w:ascii="Arial" w:hAnsi="Arial" w:cs="Arial"/>
                <w:spacing w:val="0"/>
                <w:sz w:val="22"/>
                <w:szCs w:val="22"/>
                <w:lang w:val="en" w:eastAsia="en-GB"/>
              </w:rPr>
              <w:t xml:space="preserve">To ensure a broader Fire and Rescue Service context is presented; some of the </w:t>
            </w:r>
            <w:r w:rsidR="00DD3FCD" w:rsidRPr="00B756D7">
              <w:rPr>
                <w:rFonts w:ascii="Arial" w:hAnsi="Arial" w:cs="Arial"/>
                <w:spacing w:val="0"/>
                <w:sz w:val="22"/>
                <w:szCs w:val="22"/>
                <w:lang w:val="en" w:eastAsia="en-GB"/>
              </w:rPr>
              <w:t>original wording from the Kerslake Report has been amended to reflect</w:t>
            </w:r>
            <w:r w:rsidR="00280BE6" w:rsidRPr="00B756D7">
              <w:rPr>
                <w:rFonts w:ascii="Arial" w:hAnsi="Arial" w:cs="Arial"/>
                <w:spacing w:val="0"/>
                <w:sz w:val="22"/>
                <w:szCs w:val="22"/>
                <w:lang w:val="en" w:eastAsia="en-GB"/>
              </w:rPr>
              <w:t xml:space="preserve"> </w:t>
            </w:r>
            <w:r w:rsidR="00DD3FCD" w:rsidRPr="00B756D7">
              <w:rPr>
                <w:rFonts w:ascii="Arial" w:hAnsi="Arial" w:cs="Arial"/>
                <w:spacing w:val="0"/>
                <w:sz w:val="22"/>
                <w:szCs w:val="22"/>
                <w:lang w:val="en" w:eastAsia="en-GB"/>
              </w:rPr>
              <w:t xml:space="preserve">the intent to address the </w:t>
            </w:r>
            <w:r w:rsidR="00E80F60" w:rsidRPr="00B756D7">
              <w:rPr>
                <w:rFonts w:ascii="Arial" w:hAnsi="Arial" w:cs="Arial"/>
                <w:spacing w:val="0"/>
                <w:sz w:val="22"/>
                <w:szCs w:val="22"/>
                <w:lang w:val="en" w:eastAsia="en-GB"/>
              </w:rPr>
              <w:t xml:space="preserve">recommendation </w:t>
            </w:r>
            <w:r w:rsidR="00DD3FCD" w:rsidRPr="00B756D7">
              <w:rPr>
                <w:rFonts w:ascii="Arial" w:hAnsi="Arial" w:cs="Arial"/>
                <w:spacing w:val="0"/>
                <w:sz w:val="22"/>
                <w:szCs w:val="22"/>
                <w:lang w:val="en" w:eastAsia="en-GB"/>
              </w:rPr>
              <w:t>within</w:t>
            </w:r>
            <w:r w:rsidRPr="00B756D7">
              <w:rPr>
                <w:rFonts w:ascii="Arial" w:hAnsi="Arial" w:cs="Arial"/>
                <w:spacing w:val="0"/>
                <w:sz w:val="22"/>
                <w:szCs w:val="22"/>
                <w:lang w:val="en" w:eastAsia="en-GB"/>
              </w:rPr>
              <w:t xml:space="preserve"> the F</w:t>
            </w:r>
            <w:r w:rsidR="00DD3FCD" w:rsidRPr="00B756D7">
              <w:rPr>
                <w:rFonts w:ascii="Arial" w:hAnsi="Arial" w:cs="Arial"/>
                <w:spacing w:val="0"/>
                <w:sz w:val="22"/>
                <w:szCs w:val="22"/>
                <w:lang w:val="en" w:eastAsia="en-GB"/>
              </w:rPr>
              <w:t>ire and Rescue Service</w:t>
            </w:r>
            <w:r w:rsidRPr="00B756D7">
              <w:rPr>
                <w:rFonts w:ascii="Arial" w:hAnsi="Arial" w:cs="Arial"/>
                <w:spacing w:val="0"/>
                <w:sz w:val="22"/>
                <w:szCs w:val="22"/>
                <w:lang w:val="en" w:eastAsia="en-GB"/>
              </w:rPr>
              <w:t xml:space="preserve"> nationally</w:t>
            </w:r>
            <w:r w:rsidR="00DD3FCD" w:rsidRPr="00B756D7">
              <w:rPr>
                <w:rFonts w:ascii="Arial" w:hAnsi="Arial" w:cs="Arial"/>
                <w:spacing w:val="0"/>
                <w:sz w:val="22"/>
                <w:szCs w:val="22"/>
                <w:lang w:val="en" w:eastAsia="en-GB"/>
              </w:rPr>
              <w:t xml:space="preserve">. Such amendments are shown in the wording of the recommendation in </w:t>
            </w:r>
            <w:r w:rsidR="00DD3FCD" w:rsidRPr="00B756D7">
              <w:rPr>
                <w:rFonts w:ascii="Arial" w:hAnsi="Arial" w:cs="Arial"/>
                <w:b/>
                <w:i/>
                <w:color w:val="FF0000"/>
                <w:spacing w:val="0"/>
                <w:sz w:val="22"/>
                <w:szCs w:val="22"/>
                <w:lang w:val="en" w:eastAsia="en-GB"/>
              </w:rPr>
              <w:t xml:space="preserve">red </w:t>
            </w:r>
            <w:r w:rsidRPr="00B756D7">
              <w:rPr>
                <w:rFonts w:ascii="Arial" w:hAnsi="Arial" w:cs="Arial"/>
                <w:b/>
                <w:i/>
                <w:color w:val="FF0000"/>
                <w:spacing w:val="0"/>
                <w:sz w:val="22"/>
                <w:szCs w:val="22"/>
                <w:lang w:val="en" w:eastAsia="en-GB"/>
              </w:rPr>
              <w:t xml:space="preserve">bold </w:t>
            </w:r>
            <w:r w:rsidR="00DD3FCD" w:rsidRPr="00B756D7">
              <w:rPr>
                <w:rFonts w:ascii="Arial" w:hAnsi="Arial" w:cs="Arial"/>
                <w:b/>
                <w:i/>
                <w:color w:val="FF0000"/>
                <w:spacing w:val="0"/>
                <w:sz w:val="22"/>
                <w:szCs w:val="22"/>
                <w:lang w:val="en" w:eastAsia="en-GB"/>
              </w:rPr>
              <w:t>italics</w:t>
            </w:r>
            <w:r w:rsidR="00DD3FCD" w:rsidRPr="00B756D7">
              <w:rPr>
                <w:rFonts w:ascii="Arial" w:hAnsi="Arial" w:cs="Arial"/>
                <w:b/>
                <w:spacing w:val="0"/>
                <w:sz w:val="22"/>
                <w:szCs w:val="22"/>
                <w:lang w:val="en" w:eastAsia="en-GB"/>
              </w:rPr>
              <w:t>.</w:t>
            </w:r>
          </w:p>
          <w:p w14:paraId="77962A74" w14:textId="77777777" w:rsidR="00A07882" w:rsidRDefault="00A07882" w:rsidP="00E80F60">
            <w:pPr>
              <w:spacing w:after="150" w:line="240" w:lineRule="auto"/>
              <w:jc w:val="both"/>
              <w:rPr>
                <w:rFonts w:ascii="Arial" w:hAnsi="Arial" w:cs="Arial"/>
                <w:spacing w:val="0"/>
                <w:sz w:val="22"/>
                <w:szCs w:val="22"/>
                <w:lang w:val="en" w:eastAsia="en-GB"/>
              </w:rPr>
            </w:pPr>
            <w:r>
              <w:rPr>
                <w:rFonts w:ascii="Arial" w:hAnsi="Arial" w:cs="Arial"/>
                <w:spacing w:val="0"/>
                <w:sz w:val="22"/>
                <w:szCs w:val="22"/>
                <w:lang w:val="en" w:eastAsia="en-GB"/>
              </w:rPr>
              <w:t>The Manchester response is being conducted through the Local Resilience Forum. No Government department is taking responsibility for any of the recommendations so there is a need to co-ordinate between –</w:t>
            </w:r>
          </w:p>
          <w:p w14:paraId="56E7A073" w14:textId="77777777" w:rsidR="00A07882" w:rsidRPr="00A07882" w:rsidRDefault="00A07882" w:rsidP="00A07882">
            <w:pPr>
              <w:pStyle w:val="ListParagraph"/>
              <w:numPr>
                <w:ilvl w:val="0"/>
                <w:numId w:val="14"/>
              </w:numPr>
              <w:spacing w:after="150" w:line="240" w:lineRule="auto"/>
              <w:jc w:val="both"/>
              <w:rPr>
                <w:rFonts w:ascii="Arial" w:hAnsi="Arial" w:cs="Arial"/>
                <w:spacing w:val="0"/>
                <w:sz w:val="22"/>
                <w:szCs w:val="22"/>
                <w:lang w:val="en" w:eastAsia="en-GB"/>
              </w:rPr>
            </w:pPr>
            <w:r w:rsidRPr="00A07882">
              <w:rPr>
                <w:rFonts w:ascii="Arial" w:hAnsi="Arial" w:cs="Arial"/>
                <w:spacing w:val="0"/>
                <w:sz w:val="22"/>
                <w:szCs w:val="22"/>
                <w:lang w:val="en" w:eastAsia="en-GB"/>
              </w:rPr>
              <w:t>Manchester LRF Response</w:t>
            </w:r>
          </w:p>
          <w:p w14:paraId="0F03335F" w14:textId="77777777" w:rsidR="00A07882" w:rsidRPr="00A07882" w:rsidRDefault="00A07882" w:rsidP="00A07882">
            <w:pPr>
              <w:pStyle w:val="ListParagraph"/>
              <w:numPr>
                <w:ilvl w:val="0"/>
                <w:numId w:val="14"/>
              </w:numPr>
              <w:spacing w:after="150" w:line="240" w:lineRule="auto"/>
              <w:jc w:val="both"/>
              <w:rPr>
                <w:rFonts w:ascii="Arial" w:hAnsi="Arial" w:cs="Arial"/>
                <w:spacing w:val="0"/>
                <w:sz w:val="20"/>
                <w:szCs w:val="20"/>
                <w:lang w:val="en" w:eastAsia="en-GB"/>
              </w:rPr>
            </w:pPr>
            <w:r w:rsidRPr="00A07882">
              <w:rPr>
                <w:rFonts w:ascii="Arial" w:hAnsi="Arial" w:cs="Arial"/>
                <w:spacing w:val="0"/>
                <w:sz w:val="22"/>
                <w:szCs w:val="22"/>
                <w:lang w:val="en" w:eastAsia="en-GB"/>
              </w:rPr>
              <w:t>JESIP multi-agency work</w:t>
            </w:r>
          </w:p>
          <w:p w14:paraId="08D683F4" w14:textId="77777777" w:rsidR="00A07882" w:rsidRPr="00A07882" w:rsidRDefault="00A07882" w:rsidP="00A07882">
            <w:pPr>
              <w:pStyle w:val="ListParagraph"/>
              <w:numPr>
                <w:ilvl w:val="0"/>
                <w:numId w:val="14"/>
              </w:numPr>
              <w:spacing w:after="150" w:line="240" w:lineRule="auto"/>
              <w:jc w:val="both"/>
              <w:rPr>
                <w:rFonts w:ascii="Arial" w:hAnsi="Arial" w:cs="Arial"/>
                <w:spacing w:val="0"/>
                <w:sz w:val="20"/>
                <w:szCs w:val="20"/>
                <w:lang w:val="en" w:eastAsia="en-GB"/>
              </w:rPr>
            </w:pPr>
            <w:r>
              <w:rPr>
                <w:rFonts w:ascii="Arial" w:hAnsi="Arial" w:cs="Arial"/>
                <w:spacing w:val="0"/>
                <w:sz w:val="22"/>
                <w:szCs w:val="22"/>
                <w:lang w:val="en" w:eastAsia="en-GB"/>
              </w:rPr>
              <w:t>FRS specific recommendations</w:t>
            </w:r>
            <w:bookmarkStart w:id="1" w:name="_GoBack"/>
            <w:bookmarkEnd w:id="1"/>
          </w:p>
          <w:p w14:paraId="2890E336" w14:textId="77777777" w:rsidR="00A07882" w:rsidRPr="00A07882" w:rsidRDefault="00A07882" w:rsidP="00A07882">
            <w:pPr>
              <w:pStyle w:val="ListParagraph"/>
              <w:numPr>
                <w:ilvl w:val="0"/>
                <w:numId w:val="14"/>
              </w:numPr>
              <w:spacing w:after="150" w:line="240" w:lineRule="auto"/>
              <w:jc w:val="both"/>
              <w:rPr>
                <w:rFonts w:ascii="Arial" w:hAnsi="Arial" w:cs="Arial"/>
                <w:spacing w:val="0"/>
                <w:sz w:val="20"/>
                <w:szCs w:val="20"/>
                <w:lang w:val="en" w:eastAsia="en-GB"/>
              </w:rPr>
            </w:pPr>
            <w:r>
              <w:rPr>
                <w:rFonts w:ascii="Arial" w:hAnsi="Arial" w:cs="Arial"/>
                <w:spacing w:val="0"/>
                <w:sz w:val="22"/>
                <w:szCs w:val="22"/>
                <w:lang w:val="en" w:eastAsia="en-GB"/>
              </w:rPr>
              <w:t>Review of MTFA Joint Operating Principles (JOP)</w:t>
            </w:r>
          </w:p>
        </w:tc>
      </w:tr>
      <w:tr w:rsidR="00815937" w:rsidRPr="00267E4A" w14:paraId="63E911AC" w14:textId="77777777" w:rsidTr="00B756D7">
        <w:tblPrEx>
          <w:tblBorders>
            <w:insideH w:val="single" w:sz="6" w:space="0" w:color="000099"/>
            <w:insideV w:val="single" w:sz="6" w:space="0" w:color="000099"/>
          </w:tblBorders>
        </w:tblPrEx>
        <w:trPr>
          <w:trHeight w:val="502"/>
        </w:trPr>
        <w:tc>
          <w:tcPr>
            <w:tcW w:w="3237" w:type="dxa"/>
            <w:vAlign w:val="center"/>
          </w:tcPr>
          <w:p w14:paraId="386C699F" w14:textId="77777777" w:rsidR="00815937" w:rsidRPr="00267E4A" w:rsidRDefault="00815937" w:rsidP="00030CED">
            <w:pPr>
              <w:ind w:left="567" w:hanging="567"/>
              <w:rPr>
                <w:rFonts w:ascii="Arial" w:hAnsi="Arial" w:cs="Arial"/>
                <w:b/>
                <w:color w:val="000099"/>
                <w:sz w:val="24"/>
                <w:szCs w:val="24"/>
              </w:rPr>
            </w:pPr>
            <w:r w:rsidRPr="00267E4A">
              <w:rPr>
                <w:rFonts w:ascii="Arial" w:hAnsi="Arial" w:cs="Arial"/>
                <w:b/>
                <w:color w:val="000099"/>
                <w:sz w:val="24"/>
                <w:szCs w:val="24"/>
              </w:rPr>
              <w:lastRenderedPageBreak/>
              <w:t>Contacts</w:t>
            </w:r>
          </w:p>
        </w:tc>
        <w:tc>
          <w:tcPr>
            <w:tcW w:w="2109" w:type="dxa"/>
            <w:vAlign w:val="center"/>
          </w:tcPr>
          <w:p w14:paraId="321CC916" w14:textId="77777777" w:rsidR="00815937" w:rsidRPr="00267E4A" w:rsidRDefault="00815937" w:rsidP="00030CED">
            <w:pPr>
              <w:ind w:left="567" w:hanging="567"/>
              <w:rPr>
                <w:rFonts w:ascii="Arial" w:hAnsi="Arial" w:cs="Arial"/>
                <w:b/>
                <w:color w:val="000099"/>
                <w:sz w:val="24"/>
                <w:szCs w:val="24"/>
              </w:rPr>
            </w:pPr>
            <w:r w:rsidRPr="00267E4A">
              <w:rPr>
                <w:rFonts w:ascii="Arial" w:hAnsi="Arial" w:cs="Arial"/>
                <w:b/>
                <w:color w:val="000099"/>
                <w:sz w:val="24"/>
                <w:szCs w:val="24"/>
              </w:rPr>
              <w:t>Phone Number</w:t>
            </w:r>
          </w:p>
        </w:tc>
        <w:tc>
          <w:tcPr>
            <w:tcW w:w="4302" w:type="dxa"/>
            <w:gridSpan w:val="2"/>
            <w:vAlign w:val="center"/>
          </w:tcPr>
          <w:p w14:paraId="155B200B" w14:textId="77777777" w:rsidR="00815937" w:rsidRPr="00267E4A" w:rsidRDefault="00815937" w:rsidP="00030CED">
            <w:pPr>
              <w:ind w:left="567" w:hanging="567"/>
              <w:rPr>
                <w:rFonts w:ascii="Arial" w:hAnsi="Arial" w:cs="Arial"/>
                <w:b/>
                <w:color w:val="000099"/>
                <w:sz w:val="24"/>
                <w:szCs w:val="24"/>
              </w:rPr>
            </w:pPr>
            <w:r w:rsidRPr="00267E4A">
              <w:rPr>
                <w:rFonts w:ascii="Arial" w:hAnsi="Arial" w:cs="Arial"/>
                <w:b/>
                <w:color w:val="000099"/>
                <w:sz w:val="24"/>
                <w:szCs w:val="24"/>
              </w:rPr>
              <w:t>Email</w:t>
            </w:r>
          </w:p>
        </w:tc>
      </w:tr>
      <w:tr w:rsidR="00D83CC4" w:rsidRPr="00267E4A" w14:paraId="0E7765AC" w14:textId="77777777" w:rsidTr="00B756D7">
        <w:tblPrEx>
          <w:tblBorders>
            <w:insideH w:val="single" w:sz="6" w:space="0" w:color="000099"/>
            <w:insideV w:val="single" w:sz="6" w:space="0" w:color="000099"/>
          </w:tblBorders>
        </w:tblPrEx>
        <w:trPr>
          <w:trHeight w:val="502"/>
        </w:trPr>
        <w:tc>
          <w:tcPr>
            <w:tcW w:w="3237" w:type="dxa"/>
            <w:vAlign w:val="center"/>
          </w:tcPr>
          <w:p w14:paraId="7F57DEDA" w14:textId="77777777" w:rsidR="00D83CC4" w:rsidRPr="0000314D" w:rsidRDefault="00D83CC4" w:rsidP="00D83CC4">
            <w:pPr>
              <w:rPr>
                <w:rFonts w:ascii="Arial" w:hAnsi="Arial" w:cs="Arial"/>
                <w:sz w:val="24"/>
                <w:szCs w:val="24"/>
              </w:rPr>
            </w:pPr>
          </w:p>
        </w:tc>
        <w:tc>
          <w:tcPr>
            <w:tcW w:w="2109" w:type="dxa"/>
            <w:vAlign w:val="center"/>
          </w:tcPr>
          <w:p w14:paraId="690D5C8F" w14:textId="77777777" w:rsidR="00D83CC4" w:rsidRPr="0000314D" w:rsidRDefault="00D83CC4" w:rsidP="00F57739">
            <w:pPr>
              <w:jc w:val="center"/>
              <w:rPr>
                <w:rFonts w:ascii="Arial" w:hAnsi="Arial" w:cs="Arial"/>
                <w:sz w:val="24"/>
                <w:szCs w:val="24"/>
              </w:rPr>
            </w:pPr>
          </w:p>
        </w:tc>
        <w:tc>
          <w:tcPr>
            <w:tcW w:w="4302" w:type="dxa"/>
            <w:gridSpan w:val="2"/>
            <w:vAlign w:val="center"/>
          </w:tcPr>
          <w:p w14:paraId="40A4D475" w14:textId="77777777" w:rsidR="00D83CC4" w:rsidRPr="00A3505D" w:rsidRDefault="00D83CC4" w:rsidP="00D83CC4">
            <w:pPr>
              <w:rPr>
                <w:rFonts w:ascii="Arial" w:hAnsi="Arial" w:cs="Arial"/>
                <w:color w:val="00B0F0"/>
                <w:sz w:val="24"/>
                <w:szCs w:val="24"/>
              </w:rPr>
            </w:pPr>
          </w:p>
        </w:tc>
      </w:tr>
    </w:tbl>
    <w:p w14:paraId="158430CF" w14:textId="77777777" w:rsidR="00815937" w:rsidRPr="00267E4A" w:rsidRDefault="00815937">
      <w:pPr>
        <w:rPr>
          <w:rFonts w:ascii="Arial" w:hAnsi="Arial" w:cs="Arial"/>
          <w:b/>
          <w:color w:val="000099"/>
          <w:sz w:val="24"/>
          <w:szCs w:val="24"/>
        </w:rPr>
      </w:pPr>
    </w:p>
    <w:tbl>
      <w:tblPr>
        <w:tblW w:w="9648" w:type="dxa"/>
        <w:tblBorders>
          <w:top w:val="double" w:sz="4" w:space="0" w:color="000099"/>
          <w:left w:val="double" w:sz="4" w:space="0" w:color="000099"/>
          <w:bottom w:val="double" w:sz="4" w:space="0" w:color="000099"/>
          <w:right w:val="double" w:sz="4" w:space="0" w:color="000099"/>
          <w:insideH w:val="single" w:sz="6" w:space="0" w:color="000099"/>
          <w:insideV w:val="single" w:sz="6" w:space="0" w:color="000099"/>
        </w:tblBorders>
        <w:tblLook w:val="04A0" w:firstRow="1" w:lastRow="0" w:firstColumn="1" w:lastColumn="0" w:noHBand="0" w:noVBand="1"/>
      </w:tblPr>
      <w:tblGrid>
        <w:gridCol w:w="6317"/>
        <w:gridCol w:w="3331"/>
      </w:tblGrid>
      <w:tr w:rsidR="00815937" w:rsidRPr="00267E4A" w14:paraId="4D45FA51" w14:textId="77777777" w:rsidTr="00D82E96">
        <w:trPr>
          <w:trHeight w:val="545"/>
        </w:trPr>
        <w:tc>
          <w:tcPr>
            <w:tcW w:w="6317" w:type="dxa"/>
            <w:vAlign w:val="center"/>
          </w:tcPr>
          <w:p w14:paraId="0B5126F5" w14:textId="77777777" w:rsidR="000E39AB" w:rsidRDefault="000E39AB">
            <w:pPr>
              <w:ind w:left="567" w:hanging="567"/>
              <w:rPr>
                <w:rFonts w:ascii="Arial" w:hAnsi="Arial" w:cs="Arial"/>
                <w:b/>
                <w:color w:val="000099"/>
                <w:sz w:val="24"/>
                <w:szCs w:val="24"/>
              </w:rPr>
            </w:pPr>
          </w:p>
          <w:p w14:paraId="4350297E" w14:textId="77777777" w:rsidR="00815937" w:rsidRPr="00267E4A" w:rsidRDefault="00815937">
            <w:pPr>
              <w:ind w:left="567" w:hanging="567"/>
              <w:rPr>
                <w:rFonts w:ascii="Arial" w:hAnsi="Arial" w:cs="Arial"/>
                <w:b/>
                <w:color w:val="000099"/>
                <w:sz w:val="24"/>
                <w:szCs w:val="24"/>
              </w:rPr>
            </w:pPr>
            <w:r w:rsidRPr="00267E4A">
              <w:rPr>
                <w:rFonts w:ascii="Arial" w:hAnsi="Arial" w:cs="Arial"/>
                <w:b/>
                <w:color w:val="000099"/>
                <w:sz w:val="24"/>
                <w:szCs w:val="24"/>
              </w:rPr>
              <w:t>Reference Documents</w:t>
            </w:r>
          </w:p>
        </w:tc>
        <w:tc>
          <w:tcPr>
            <w:tcW w:w="3331" w:type="dxa"/>
            <w:vAlign w:val="center"/>
          </w:tcPr>
          <w:p w14:paraId="7554B238" w14:textId="77777777" w:rsidR="00815937" w:rsidRPr="00267E4A" w:rsidRDefault="00815937">
            <w:pPr>
              <w:ind w:left="567" w:hanging="567"/>
              <w:rPr>
                <w:rFonts w:ascii="Arial" w:hAnsi="Arial" w:cs="Arial"/>
                <w:b/>
                <w:color w:val="000099"/>
                <w:sz w:val="24"/>
                <w:szCs w:val="24"/>
              </w:rPr>
            </w:pPr>
            <w:r w:rsidRPr="00267E4A">
              <w:rPr>
                <w:rFonts w:ascii="Arial" w:hAnsi="Arial" w:cs="Arial"/>
                <w:b/>
                <w:color w:val="000099"/>
                <w:sz w:val="24"/>
                <w:szCs w:val="24"/>
              </w:rPr>
              <w:t>Reference Number</w:t>
            </w:r>
          </w:p>
        </w:tc>
      </w:tr>
      <w:tr w:rsidR="00815937" w:rsidRPr="00267E4A" w14:paraId="1516B77B" w14:textId="77777777" w:rsidTr="00D82E96">
        <w:trPr>
          <w:trHeight w:val="502"/>
        </w:trPr>
        <w:tc>
          <w:tcPr>
            <w:tcW w:w="6317" w:type="dxa"/>
            <w:vAlign w:val="center"/>
          </w:tcPr>
          <w:p w14:paraId="10A0C587" w14:textId="77777777" w:rsidR="00815937" w:rsidRPr="00DD3FCD" w:rsidRDefault="00F57739" w:rsidP="00423C91">
            <w:pPr>
              <w:autoSpaceDE w:val="0"/>
              <w:autoSpaceDN w:val="0"/>
              <w:adjustRightInd w:val="0"/>
              <w:spacing w:line="240" w:lineRule="auto"/>
              <w:rPr>
                <w:rFonts w:ascii="Arial" w:hAnsi="Arial" w:cs="Arial"/>
                <w:b/>
                <w:i/>
                <w:sz w:val="24"/>
                <w:szCs w:val="24"/>
              </w:rPr>
            </w:pPr>
            <w:r w:rsidRPr="00DD3FCD">
              <w:rPr>
                <w:rFonts w:ascii="Arial" w:hAnsi="Arial" w:cs="Arial"/>
                <w:b/>
                <w:i/>
                <w:sz w:val="24"/>
                <w:szCs w:val="24"/>
              </w:rPr>
              <w:t xml:space="preserve">The Kerslake Report: </w:t>
            </w:r>
            <w:r w:rsidRPr="00DD3FCD">
              <w:rPr>
                <w:rFonts w:ascii="Arial" w:hAnsi="Arial" w:cs="Arial"/>
                <w:b/>
                <w:i/>
                <w:spacing w:val="0"/>
                <w:sz w:val="24"/>
                <w:szCs w:val="24"/>
                <w:lang w:val="en-GB" w:eastAsia="en-GB"/>
              </w:rPr>
              <w:t xml:space="preserve">An independent review into the preparedness </w:t>
            </w:r>
            <w:r w:rsidR="00DD3FCD" w:rsidRPr="00DD3FCD">
              <w:rPr>
                <w:rFonts w:ascii="Arial" w:hAnsi="Arial" w:cs="Arial"/>
                <w:b/>
                <w:i/>
                <w:spacing w:val="0"/>
                <w:sz w:val="24"/>
                <w:szCs w:val="24"/>
                <w:lang w:val="en-GB" w:eastAsia="en-GB"/>
              </w:rPr>
              <w:t>for, and</w:t>
            </w:r>
            <w:r w:rsidRPr="00DD3FCD">
              <w:rPr>
                <w:rFonts w:ascii="Arial" w:hAnsi="Arial" w:cs="Arial"/>
                <w:b/>
                <w:i/>
                <w:spacing w:val="0"/>
                <w:sz w:val="24"/>
                <w:szCs w:val="24"/>
                <w:lang w:val="en-GB" w:eastAsia="en-GB"/>
              </w:rPr>
              <w:t xml:space="preserve"> emergency response to, the Manchester Arena</w:t>
            </w:r>
            <w:r w:rsidR="00DD3FCD" w:rsidRPr="00DD3FCD">
              <w:rPr>
                <w:rFonts w:ascii="Arial" w:hAnsi="Arial" w:cs="Arial"/>
                <w:b/>
                <w:i/>
                <w:spacing w:val="0"/>
                <w:sz w:val="24"/>
                <w:szCs w:val="24"/>
                <w:lang w:val="en-GB" w:eastAsia="en-GB"/>
              </w:rPr>
              <w:t xml:space="preserve"> </w:t>
            </w:r>
            <w:r w:rsidRPr="00DD3FCD">
              <w:rPr>
                <w:rFonts w:ascii="Arial" w:hAnsi="Arial" w:cs="Arial"/>
                <w:b/>
                <w:i/>
                <w:spacing w:val="0"/>
                <w:sz w:val="24"/>
                <w:szCs w:val="24"/>
                <w:lang w:val="en-GB" w:eastAsia="en-GB"/>
              </w:rPr>
              <w:t>attack on 22</w:t>
            </w:r>
            <w:r w:rsidR="00423C91" w:rsidRPr="007D40BE">
              <w:rPr>
                <w:rFonts w:ascii="Arial" w:hAnsi="Arial" w:cs="Arial"/>
                <w:b/>
                <w:i/>
                <w:spacing w:val="0"/>
                <w:sz w:val="24"/>
                <w:szCs w:val="24"/>
                <w:vertAlign w:val="superscript"/>
                <w:lang w:val="en-GB" w:eastAsia="en-GB"/>
              </w:rPr>
              <w:t>nd</w:t>
            </w:r>
            <w:r w:rsidR="00423C91">
              <w:rPr>
                <w:rFonts w:ascii="Arial" w:hAnsi="Arial" w:cs="Arial"/>
                <w:b/>
                <w:i/>
                <w:spacing w:val="0"/>
                <w:sz w:val="24"/>
                <w:szCs w:val="24"/>
                <w:lang w:val="en-GB" w:eastAsia="en-GB"/>
              </w:rPr>
              <w:t xml:space="preserve"> </w:t>
            </w:r>
            <w:r w:rsidRPr="00DD3FCD">
              <w:rPr>
                <w:rFonts w:ascii="Arial" w:hAnsi="Arial" w:cs="Arial"/>
                <w:b/>
                <w:i/>
                <w:spacing w:val="0"/>
                <w:sz w:val="24"/>
                <w:szCs w:val="24"/>
                <w:lang w:val="en-GB" w:eastAsia="en-GB"/>
              </w:rPr>
              <w:t>May 2017</w:t>
            </w:r>
          </w:p>
        </w:tc>
        <w:tc>
          <w:tcPr>
            <w:tcW w:w="3331" w:type="dxa"/>
            <w:vAlign w:val="center"/>
          </w:tcPr>
          <w:p w14:paraId="02C68631" w14:textId="77777777" w:rsidR="00815937" w:rsidRPr="00DD3FCD" w:rsidRDefault="00DD3FCD">
            <w:pPr>
              <w:rPr>
                <w:rFonts w:ascii="Arial" w:hAnsi="Arial" w:cs="Arial"/>
                <w:color w:val="000099"/>
                <w:sz w:val="24"/>
                <w:szCs w:val="24"/>
              </w:rPr>
            </w:pPr>
            <w:r w:rsidRPr="00DD3FCD">
              <w:rPr>
                <w:rFonts w:ascii="Arial" w:hAnsi="Arial" w:cs="Arial"/>
                <w:sz w:val="24"/>
                <w:szCs w:val="24"/>
              </w:rPr>
              <w:t>Published 27</w:t>
            </w:r>
            <w:r w:rsidRPr="00DD3FCD">
              <w:rPr>
                <w:rFonts w:ascii="Arial" w:hAnsi="Arial" w:cs="Arial"/>
                <w:sz w:val="24"/>
                <w:szCs w:val="24"/>
                <w:vertAlign w:val="superscript"/>
              </w:rPr>
              <w:t>th</w:t>
            </w:r>
            <w:r w:rsidRPr="00DD3FCD">
              <w:rPr>
                <w:rFonts w:ascii="Arial" w:hAnsi="Arial" w:cs="Arial"/>
                <w:sz w:val="24"/>
                <w:szCs w:val="24"/>
              </w:rPr>
              <w:t xml:space="preserve"> March 2018</w:t>
            </w:r>
          </w:p>
        </w:tc>
      </w:tr>
    </w:tbl>
    <w:p w14:paraId="2389AD93" w14:textId="77777777" w:rsidR="00C32E6E" w:rsidRDefault="00C32E6E" w:rsidP="002F1C41">
      <w:pPr>
        <w:jc w:val="both"/>
        <w:rPr>
          <w:rFonts w:ascii="Arial" w:hAnsi="Arial" w:cs="Arial"/>
          <w:b/>
          <w:sz w:val="22"/>
          <w:szCs w:val="22"/>
        </w:rPr>
      </w:pPr>
    </w:p>
    <w:p w14:paraId="73D49A3F" w14:textId="77777777" w:rsidR="00523C31" w:rsidRDefault="00523C31" w:rsidP="002F1C41">
      <w:pPr>
        <w:jc w:val="both"/>
        <w:rPr>
          <w:rFonts w:ascii="Arial" w:hAnsi="Arial" w:cs="Arial"/>
          <w:b/>
          <w:sz w:val="22"/>
          <w:szCs w:val="22"/>
        </w:rPr>
      </w:pPr>
      <w:bookmarkStart w:id="2" w:name="_Hlk491098010"/>
    </w:p>
    <w:p w14:paraId="3E2E456B" w14:textId="77777777" w:rsidR="008F542D" w:rsidRDefault="008F542D" w:rsidP="002F1C41">
      <w:pPr>
        <w:jc w:val="both"/>
        <w:rPr>
          <w:rFonts w:ascii="Arial" w:hAnsi="Arial" w:cs="Arial"/>
          <w:b/>
          <w:sz w:val="22"/>
          <w:szCs w:val="22"/>
        </w:rPr>
      </w:pPr>
    </w:p>
    <w:p w14:paraId="1029EE52" w14:textId="77777777" w:rsidR="00DD3FCD" w:rsidRDefault="00DD3FCD">
      <w:pPr>
        <w:spacing w:line="240" w:lineRule="auto"/>
        <w:rPr>
          <w:rFonts w:ascii="Arial" w:hAnsi="Arial" w:cs="Arial"/>
          <w:b/>
          <w:sz w:val="22"/>
          <w:szCs w:val="22"/>
        </w:rPr>
        <w:sectPr w:rsidR="00DD3FCD" w:rsidSect="00A01BD5">
          <w:headerReference w:type="default" r:id="rId8"/>
          <w:footerReference w:type="default" r:id="rId9"/>
          <w:headerReference w:type="first" r:id="rId10"/>
          <w:footerReference w:type="first" r:id="rId11"/>
          <w:pgSz w:w="12134" w:h="16840" w:code="9"/>
          <w:pgMar w:top="1440" w:right="1418" w:bottom="1440" w:left="1418" w:header="0" w:footer="709" w:gutter="0"/>
          <w:cols w:space="708"/>
          <w:titlePg/>
          <w:docGrid w:linePitch="360"/>
        </w:sectPr>
      </w:pPr>
    </w:p>
    <w:p w14:paraId="33A8681A" w14:textId="77777777" w:rsidR="008F542D" w:rsidRDefault="008F542D" w:rsidP="00DD3FCD">
      <w:pPr>
        <w:spacing w:line="240" w:lineRule="auto"/>
        <w:rPr>
          <w:rFonts w:ascii="Arial" w:hAnsi="Arial" w:cs="Arial"/>
          <w:b/>
          <w:sz w:val="22"/>
          <w:szCs w:val="22"/>
        </w:rPr>
      </w:pPr>
    </w:p>
    <w:p w14:paraId="5EAE7CA5" w14:textId="77777777" w:rsidR="00DD3FCD" w:rsidRDefault="00DD3FCD" w:rsidP="00DD3FCD">
      <w:pPr>
        <w:spacing w:line="240" w:lineRule="auto"/>
        <w:rPr>
          <w:rFonts w:ascii="Arial" w:hAnsi="Arial" w:cs="Arial"/>
          <w:b/>
          <w:sz w:val="22"/>
          <w:szCs w:val="22"/>
        </w:rPr>
      </w:pPr>
    </w:p>
    <w:p w14:paraId="66F09F8E" w14:textId="77777777" w:rsidR="00DD3FCD" w:rsidRDefault="00DD3FCD" w:rsidP="00DD3FCD">
      <w:pPr>
        <w:spacing w:line="240" w:lineRule="auto"/>
        <w:rPr>
          <w:rFonts w:ascii="Arial" w:hAnsi="Arial" w:cs="Arial"/>
          <w:b/>
          <w:sz w:val="22"/>
          <w:szCs w:val="22"/>
        </w:rPr>
      </w:pPr>
    </w:p>
    <w:tbl>
      <w:tblPr>
        <w:tblStyle w:val="TableGrid"/>
        <w:tblW w:w="0" w:type="auto"/>
        <w:tblLook w:val="04A0" w:firstRow="1" w:lastRow="0" w:firstColumn="1" w:lastColumn="0" w:noHBand="0" w:noVBand="1"/>
      </w:tblPr>
      <w:tblGrid>
        <w:gridCol w:w="533"/>
        <w:gridCol w:w="4744"/>
        <w:gridCol w:w="1715"/>
        <w:gridCol w:w="5244"/>
        <w:gridCol w:w="1714"/>
      </w:tblGrid>
      <w:tr w:rsidR="00DD3FCD" w14:paraId="221D6B3C" w14:textId="77777777" w:rsidTr="00791D8F">
        <w:tc>
          <w:tcPr>
            <w:tcW w:w="14176" w:type="dxa"/>
            <w:gridSpan w:val="5"/>
            <w:tcBorders>
              <w:bottom w:val="single" w:sz="4" w:space="0" w:color="auto"/>
            </w:tcBorders>
            <w:shd w:val="clear" w:color="auto" w:fill="FF0000"/>
          </w:tcPr>
          <w:p w14:paraId="3825EDB8" w14:textId="77777777" w:rsidR="00DD3FCD" w:rsidRPr="00DD3FCD" w:rsidRDefault="00DD3FCD" w:rsidP="00DD3FCD">
            <w:pPr>
              <w:spacing w:line="240" w:lineRule="auto"/>
              <w:jc w:val="center"/>
              <w:rPr>
                <w:rFonts w:ascii="Arial" w:hAnsi="Arial" w:cs="Arial"/>
                <w:b/>
                <w:sz w:val="22"/>
                <w:szCs w:val="22"/>
              </w:rPr>
            </w:pPr>
            <w:r w:rsidRPr="00791D8F">
              <w:rPr>
                <w:rFonts w:ascii="Arial" w:hAnsi="Arial" w:cs="Arial"/>
                <w:b/>
                <w:color w:val="FFFFFF" w:themeColor="background1"/>
                <w:sz w:val="22"/>
                <w:szCs w:val="22"/>
              </w:rPr>
              <w:t>Fire and Rescue Service Recommendations</w:t>
            </w:r>
          </w:p>
        </w:tc>
      </w:tr>
      <w:tr w:rsidR="00791D8F" w14:paraId="2DA14FD0" w14:textId="77777777" w:rsidTr="00791D8F">
        <w:tc>
          <w:tcPr>
            <w:tcW w:w="534" w:type="dxa"/>
            <w:shd w:val="clear" w:color="auto" w:fill="D9D9D9" w:themeFill="background1" w:themeFillShade="D9"/>
          </w:tcPr>
          <w:p w14:paraId="5DA7A9E6" w14:textId="77777777" w:rsidR="00791D8F" w:rsidRPr="00791D8F" w:rsidRDefault="00791D8F" w:rsidP="00791D8F">
            <w:pPr>
              <w:spacing w:line="240" w:lineRule="auto"/>
              <w:jc w:val="center"/>
              <w:rPr>
                <w:rFonts w:ascii="Arial" w:hAnsi="Arial" w:cs="Arial"/>
                <w:b/>
                <w:sz w:val="22"/>
                <w:szCs w:val="22"/>
              </w:rPr>
            </w:pPr>
            <w:r w:rsidRPr="00791D8F">
              <w:rPr>
                <w:rFonts w:ascii="Arial" w:hAnsi="Arial" w:cs="Arial"/>
                <w:b/>
                <w:sz w:val="22"/>
                <w:szCs w:val="22"/>
              </w:rPr>
              <w:t>No</w:t>
            </w:r>
          </w:p>
        </w:tc>
        <w:tc>
          <w:tcPr>
            <w:tcW w:w="4819" w:type="dxa"/>
            <w:shd w:val="clear" w:color="auto" w:fill="D9D9D9" w:themeFill="background1" w:themeFillShade="D9"/>
          </w:tcPr>
          <w:p w14:paraId="042DB2E0" w14:textId="77777777" w:rsidR="00791D8F" w:rsidRPr="00791D8F" w:rsidRDefault="00791D8F" w:rsidP="00791D8F">
            <w:pPr>
              <w:spacing w:line="240" w:lineRule="auto"/>
              <w:jc w:val="center"/>
              <w:rPr>
                <w:rFonts w:ascii="Arial" w:hAnsi="Arial" w:cs="Arial"/>
                <w:b/>
                <w:sz w:val="22"/>
                <w:szCs w:val="22"/>
              </w:rPr>
            </w:pPr>
            <w:r w:rsidRPr="00791D8F">
              <w:rPr>
                <w:rFonts w:ascii="Arial" w:hAnsi="Arial" w:cs="Arial"/>
                <w:b/>
                <w:sz w:val="22"/>
                <w:szCs w:val="22"/>
              </w:rPr>
              <w:t>Kerslake Report Recommendation</w:t>
            </w:r>
          </w:p>
        </w:tc>
        <w:tc>
          <w:tcPr>
            <w:tcW w:w="1734" w:type="dxa"/>
            <w:shd w:val="clear" w:color="auto" w:fill="D9D9D9" w:themeFill="background1" w:themeFillShade="D9"/>
          </w:tcPr>
          <w:p w14:paraId="6833F870" w14:textId="77777777" w:rsidR="00791D8F" w:rsidRPr="00791D8F" w:rsidRDefault="00791D8F" w:rsidP="00791D8F">
            <w:pPr>
              <w:spacing w:line="240" w:lineRule="auto"/>
              <w:jc w:val="center"/>
              <w:rPr>
                <w:rFonts w:ascii="Arial" w:hAnsi="Arial" w:cs="Arial"/>
                <w:b/>
                <w:sz w:val="22"/>
                <w:szCs w:val="22"/>
              </w:rPr>
            </w:pPr>
            <w:r w:rsidRPr="00791D8F">
              <w:rPr>
                <w:rFonts w:ascii="Arial" w:hAnsi="Arial" w:cs="Arial"/>
                <w:b/>
                <w:sz w:val="22"/>
                <w:szCs w:val="22"/>
              </w:rPr>
              <w:t>Date Opened</w:t>
            </w:r>
          </w:p>
        </w:tc>
        <w:tc>
          <w:tcPr>
            <w:tcW w:w="5354" w:type="dxa"/>
            <w:shd w:val="clear" w:color="auto" w:fill="D9D9D9" w:themeFill="background1" w:themeFillShade="D9"/>
          </w:tcPr>
          <w:p w14:paraId="2CCEE251" w14:textId="77777777" w:rsidR="00791D8F" w:rsidRPr="00791D8F" w:rsidRDefault="00791D8F" w:rsidP="00791D8F">
            <w:pPr>
              <w:spacing w:line="240" w:lineRule="auto"/>
              <w:jc w:val="center"/>
              <w:rPr>
                <w:rFonts w:ascii="Arial" w:hAnsi="Arial" w:cs="Arial"/>
                <w:b/>
                <w:sz w:val="22"/>
                <w:szCs w:val="22"/>
              </w:rPr>
            </w:pPr>
            <w:r w:rsidRPr="00791D8F">
              <w:rPr>
                <w:rFonts w:ascii="Arial" w:hAnsi="Arial" w:cs="Arial"/>
                <w:b/>
                <w:sz w:val="22"/>
                <w:szCs w:val="22"/>
              </w:rPr>
              <w:t>Progress update</w:t>
            </w:r>
          </w:p>
        </w:tc>
        <w:tc>
          <w:tcPr>
            <w:tcW w:w="1735" w:type="dxa"/>
            <w:shd w:val="clear" w:color="auto" w:fill="D9D9D9" w:themeFill="background1" w:themeFillShade="D9"/>
          </w:tcPr>
          <w:p w14:paraId="17CCFA0C" w14:textId="77777777" w:rsidR="00791D8F" w:rsidRPr="00791D8F" w:rsidRDefault="00791D8F" w:rsidP="00791D8F">
            <w:pPr>
              <w:spacing w:line="240" w:lineRule="auto"/>
              <w:jc w:val="center"/>
              <w:rPr>
                <w:rFonts w:ascii="Arial" w:hAnsi="Arial" w:cs="Arial"/>
                <w:b/>
                <w:sz w:val="22"/>
                <w:szCs w:val="22"/>
              </w:rPr>
            </w:pPr>
            <w:r w:rsidRPr="00791D8F">
              <w:rPr>
                <w:rFonts w:ascii="Arial" w:hAnsi="Arial" w:cs="Arial"/>
                <w:b/>
                <w:sz w:val="22"/>
                <w:szCs w:val="22"/>
              </w:rPr>
              <w:t>Date Closed</w:t>
            </w:r>
          </w:p>
        </w:tc>
      </w:tr>
      <w:tr w:rsidR="00D9665F" w14:paraId="440FA1F9" w14:textId="77777777" w:rsidTr="00791D8F">
        <w:tc>
          <w:tcPr>
            <w:tcW w:w="534" w:type="dxa"/>
          </w:tcPr>
          <w:p w14:paraId="207FB3E8" w14:textId="77777777" w:rsidR="00D9665F" w:rsidRPr="00791D8F" w:rsidRDefault="00D9665F" w:rsidP="00D9665F">
            <w:pPr>
              <w:spacing w:line="240" w:lineRule="auto"/>
              <w:jc w:val="center"/>
              <w:rPr>
                <w:rFonts w:ascii="Arial" w:hAnsi="Arial" w:cs="Arial"/>
                <w:sz w:val="20"/>
                <w:szCs w:val="20"/>
              </w:rPr>
            </w:pPr>
            <w:r w:rsidRPr="00791D8F">
              <w:rPr>
                <w:rFonts w:ascii="Arial" w:hAnsi="Arial" w:cs="Arial"/>
                <w:sz w:val="20"/>
                <w:szCs w:val="20"/>
              </w:rPr>
              <w:t>01</w:t>
            </w:r>
          </w:p>
        </w:tc>
        <w:tc>
          <w:tcPr>
            <w:tcW w:w="4819" w:type="dxa"/>
          </w:tcPr>
          <w:p w14:paraId="5E25A0D9" w14:textId="77777777" w:rsidR="00D9665F" w:rsidRPr="00791D8F" w:rsidRDefault="00D9665F" w:rsidP="00D9665F">
            <w:pPr>
              <w:spacing w:line="240" w:lineRule="auto"/>
              <w:jc w:val="both"/>
              <w:rPr>
                <w:rFonts w:ascii="Arial" w:hAnsi="Arial" w:cs="Arial"/>
                <w:sz w:val="20"/>
                <w:szCs w:val="20"/>
              </w:rPr>
            </w:pPr>
            <w:r w:rsidRPr="00323067">
              <w:rPr>
                <w:rFonts w:ascii="Arial" w:hAnsi="Arial" w:cs="Arial"/>
                <w:sz w:val="20"/>
                <w:szCs w:val="20"/>
              </w:rPr>
              <w:t>Whilst the Panel acknowledges that Greater Manchester Fire and Rescue Service and North West Fire Control have made alterations to the role of the National Inter-Agency Liaison Officer and Pre-Determined Attendance (PDA) protocols for terrorist-related and suspected terrorist-related incidents</w:t>
            </w:r>
            <w:r>
              <w:rPr>
                <w:rFonts w:ascii="Arial" w:hAnsi="Arial" w:cs="Arial"/>
                <w:sz w:val="20"/>
                <w:szCs w:val="20"/>
              </w:rPr>
              <w:t xml:space="preserve">; </w:t>
            </w:r>
            <w:r w:rsidRPr="00323067">
              <w:rPr>
                <w:rFonts w:ascii="Arial" w:hAnsi="Arial" w:cs="Arial"/>
                <w:b/>
                <w:i/>
                <w:color w:val="FF0000"/>
                <w:sz w:val="20"/>
                <w:szCs w:val="20"/>
              </w:rPr>
              <w:t>FRS and their respective control rooms</w:t>
            </w:r>
            <w:r>
              <w:rPr>
                <w:rFonts w:ascii="Arial" w:hAnsi="Arial" w:cs="Arial"/>
                <w:sz w:val="20"/>
                <w:szCs w:val="20"/>
              </w:rPr>
              <w:t xml:space="preserve"> </w:t>
            </w:r>
            <w:r w:rsidRPr="00323067">
              <w:rPr>
                <w:rFonts w:ascii="Arial" w:hAnsi="Arial" w:cs="Arial"/>
                <w:sz w:val="20"/>
                <w:szCs w:val="20"/>
              </w:rPr>
              <w:t>should test and further review these protocols to ensure they will be effective and always allocate a ‘command structure’ to the incident and a National Inter-Agency Liaison Officer to act as Tactical Advisor to the incident commander (Ref 5.166 of the</w:t>
            </w:r>
            <w:r>
              <w:rPr>
                <w:rFonts w:ascii="Arial" w:hAnsi="Arial" w:cs="Arial"/>
                <w:sz w:val="20"/>
                <w:szCs w:val="20"/>
              </w:rPr>
              <w:t xml:space="preserve"> report</w:t>
            </w:r>
            <w:r w:rsidRPr="00323067">
              <w:rPr>
                <w:rFonts w:ascii="Arial" w:hAnsi="Arial" w:cs="Arial"/>
                <w:sz w:val="20"/>
                <w:szCs w:val="20"/>
              </w:rPr>
              <w:t>).</w:t>
            </w:r>
          </w:p>
        </w:tc>
        <w:tc>
          <w:tcPr>
            <w:tcW w:w="1734" w:type="dxa"/>
          </w:tcPr>
          <w:p w14:paraId="64988F4E" w14:textId="77777777" w:rsidR="00D9665F" w:rsidRPr="00791D8F" w:rsidRDefault="00D9665F" w:rsidP="00D9665F">
            <w:pPr>
              <w:spacing w:line="240" w:lineRule="auto"/>
              <w:rPr>
                <w:rFonts w:ascii="Arial" w:hAnsi="Arial" w:cs="Arial"/>
                <w:sz w:val="20"/>
                <w:szCs w:val="20"/>
              </w:rPr>
            </w:pPr>
            <w:r>
              <w:rPr>
                <w:rFonts w:ascii="Arial" w:hAnsi="Arial" w:cs="Arial"/>
                <w:sz w:val="20"/>
                <w:szCs w:val="20"/>
              </w:rPr>
              <w:t>27</w:t>
            </w:r>
            <w:r w:rsidRPr="00B02212">
              <w:rPr>
                <w:rFonts w:ascii="Arial" w:hAnsi="Arial" w:cs="Arial"/>
                <w:sz w:val="20"/>
                <w:szCs w:val="20"/>
                <w:vertAlign w:val="superscript"/>
              </w:rPr>
              <w:t>th</w:t>
            </w:r>
            <w:r>
              <w:rPr>
                <w:rFonts w:ascii="Arial" w:hAnsi="Arial" w:cs="Arial"/>
                <w:sz w:val="20"/>
                <w:szCs w:val="20"/>
              </w:rPr>
              <w:t xml:space="preserve"> March 2018</w:t>
            </w:r>
          </w:p>
        </w:tc>
        <w:tc>
          <w:tcPr>
            <w:tcW w:w="5354" w:type="dxa"/>
          </w:tcPr>
          <w:p w14:paraId="4BBE8172" w14:textId="77777777" w:rsidR="00D9665F" w:rsidRPr="00791D8F" w:rsidRDefault="00D9665F" w:rsidP="007D40BE">
            <w:pPr>
              <w:spacing w:line="240" w:lineRule="auto"/>
              <w:jc w:val="both"/>
              <w:rPr>
                <w:rFonts w:ascii="Arial" w:hAnsi="Arial" w:cs="Arial"/>
                <w:sz w:val="20"/>
                <w:szCs w:val="20"/>
              </w:rPr>
            </w:pPr>
            <w:r>
              <w:rPr>
                <w:rFonts w:ascii="Arial" w:hAnsi="Arial" w:cs="Arial"/>
                <w:sz w:val="20"/>
                <w:szCs w:val="20"/>
              </w:rPr>
              <w:t>NFCC NILO position statement agreed at the</w:t>
            </w:r>
            <w:r w:rsidR="007D40BE">
              <w:rPr>
                <w:rFonts w:ascii="Arial" w:hAnsi="Arial" w:cs="Arial"/>
                <w:sz w:val="20"/>
                <w:szCs w:val="20"/>
              </w:rPr>
              <w:t xml:space="preserve"> </w:t>
            </w:r>
            <w:r>
              <w:rPr>
                <w:rFonts w:ascii="Arial" w:hAnsi="Arial" w:cs="Arial"/>
                <w:sz w:val="20"/>
                <w:szCs w:val="20"/>
              </w:rPr>
              <w:t>Operations Coordination Committee 18</w:t>
            </w:r>
            <w:r w:rsidRPr="00B02212">
              <w:rPr>
                <w:rFonts w:ascii="Arial" w:hAnsi="Arial" w:cs="Arial"/>
                <w:sz w:val="20"/>
                <w:szCs w:val="20"/>
                <w:vertAlign w:val="superscript"/>
              </w:rPr>
              <w:t>th</w:t>
            </w:r>
            <w:r>
              <w:rPr>
                <w:rFonts w:ascii="Arial" w:hAnsi="Arial" w:cs="Arial"/>
                <w:sz w:val="20"/>
                <w:szCs w:val="20"/>
              </w:rPr>
              <w:t xml:space="preserve"> April</w:t>
            </w:r>
            <w:r w:rsidR="007D40BE">
              <w:rPr>
                <w:rFonts w:ascii="Arial" w:hAnsi="Arial" w:cs="Arial"/>
                <w:sz w:val="20"/>
                <w:szCs w:val="20"/>
              </w:rPr>
              <w:t xml:space="preserve"> </w:t>
            </w:r>
            <w:r>
              <w:rPr>
                <w:rFonts w:ascii="Arial" w:hAnsi="Arial" w:cs="Arial"/>
                <w:sz w:val="20"/>
                <w:szCs w:val="20"/>
              </w:rPr>
              <w:t>Review of MTFA ConOps and NOG initiated to remove any reference to the NILO in a command role</w:t>
            </w:r>
            <w:r w:rsidR="007D40BE">
              <w:rPr>
                <w:rFonts w:ascii="Arial" w:hAnsi="Arial" w:cs="Arial"/>
                <w:sz w:val="20"/>
                <w:szCs w:val="20"/>
              </w:rPr>
              <w:t>.</w:t>
            </w:r>
          </w:p>
        </w:tc>
        <w:tc>
          <w:tcPr>
            <w:tcW w:w="1735" w:type="dxa"/>
          </w:tcPr>
          <w:p w14:paraId="6678D1A5" w14:textId="77777777" w:rsidR="00D9665F" w:rsidRPr="00791D8F" w:rsidRDefault="00D9665F" w:rsidP="00D9665F">
            <w:pPr>
              <w:spacing w:line="240" w:lineRule="auto"/>
              <w:rPr>
                <w:rFonts w:ascii="Arial" w:hAnsi="Arial" w:cs="Arial"/>
                <w:sz w:val="20"/>
                <w:szCs w:val="20"/>
              </w:rPr>
            </w:pPr>
          </w:p>
        </w:tc>
      </w:tr>
      <w:tr w:rsidR="00770ABD" w14:paraId="2EC9ABB4" w14:textId="77777777" w:rsidTr="00791D8F">
        <w:tc>
          <w:tcPr>
            <w:tcW w:w="534" w:type="dxa"/>
          </w:tcPr>
          <w:p w14:paraId="26C5B10A" w14:textId="77777777" w:rsidR="00770ABD" w:rsidRPr="00791D8F" w:rsidRDefault="00770ABD" w:rsidP="00323067">
            <w:pPr>
              <w:spacing w:line="240" w:lineRule="auto"/>
              <w:jc w:val="center"/>
              <w:rPr>
                <w:rFonts w:ascii="Arial" w:hAnsi="Arial" w:cs="Arial"/>
                <w:sz w:val="20"/>
                <w:szCs w:val="20"/>
              </w:rPr>
            </w:pPr>
            <w:r>
              <w:rPr>
                <w:rFonts w:ascii="Arial" w:hAnsi="Arial" w:cs="Arial"/>
                <w:sz w:val="20"/>
                <w:szCs w:val="20"/>
              </w:rPr>
              <w:t>02</w:t>
            </w:r>
          </w:p>
        </w:tc>
        <w:tc>
          <w:tcPr>
            <w:tcW w:w="4819" w:type="dxa"/>
          </w:tcPr>
          <w:p w14:paraId="09258F79" w14:textId="77777777" w:rsidR="00770ABD" w:rsidRPr="00791D8F" w:rsidRDefault="00770ABD" w:rsidP="00DC66AB">
            <w:pPr>
              <w:spacing w:line="240" w:lineRule="auto"/>
              <w:jc w:val="both"/>
              <w:rPr>
                <w:rFonts w:ascii="Arial" w:hAnsi="Arial" w:cs="Arial"/>
                <w:sz w:val="20"/>
                <w:szCs w:val="20"/>
              </w:rPr>
            </w:pPr>
            <w:r w:rsidRPr="00791D8F">
              <w:rPr>
                <w:rFonts w:ascii="Arial" w:hAnsi="Arial" w:cs="Arial"/>
                <w:sz w:val="20"/>
                <w:szCs w:val="20"/>
              </w:rPr>
              <w:t>All Fire and Rescue Services utilising</w:t>
            </w:r>
            <w:r>
              <w:rPr>
                <w:rFonts w:ascii="Arial" w:hAnsi="Arial" w:cs="Arial"/>
                <w:sz w:val="20"/>
                <w:szCs w:val="20"/>
              </w:rPr>
              <w:t xml:space="preserve"> </w:t>
            </w:r>
            <w:r w:rsidRPr="00791D8F">
              <w:rPr>
                <w:rFonts w:ascii="Arial" w:hAnsi="Arial" w:cs="Arial"/>
                <w:b/>
                <w:i/>
                <w:color w:val="FF0000"/>
                <w:sz w:val="20"/>
                <w:szCs w:val="20"/>
              </w:rPr>
              <w:t>multi-service/multi agency Control</w:t>
            </w:r>
            <w:r w:rsidRPr="00791D8F">
              <w:rPr>
                <w:rFonts w:ascii="Arial" w:hAnsi="Arial" w:cs="Arial"/>
                <w:sz w:val="20"/>
                <w:szCs w:val="20"/>
              </w:rPr>
              <w:t xml:space="preserve"> as their call management and resolution service should review their service level agreements and build resilient contingencies and capabilities within</w:t>
            </w:r>
            <w:r>
              <w:rPr>
                <w:rFonts w:ascii="Arial" w:hAnsi="Arial" w:cs="Arial"/>
                <w:sz w:val="20"/>
                <w:szCs w:val="20"/>
              </w:rPr>
              <w:t xml:space="preserve"> </w:t>
            </w:r>
            <w:r w:rsidRPr="00791D8F">
              <w:rPr>
                <w:rFonts w:ascii="Arial" w:hAnsi="Arial" w:cs="Arial"/>
                <w:b/>
                <w:color w:val="FF0000"/>
                <w:sz w:val="20"/>
                <w:szCs w:val="20"/>
              </w:rPr>
              <w:t>their control</w:t>
            </w:r>
            <w:r w:rsidRPr="00791D8F">
              <w:rPr>
                <w:rFonts w:ascii="Arial" w:hAnsi="Arial" w:cs="Arial"/>
                <w:color w:val="FF0000"/>
                <w:sz w:val="20"/>
                <w:szCs w:val="20"/>
              </w:rPr>
              <w:t xml:space="preserve"> </w:t>
            </w:r>
            <w:r w:rsidRPr="00791D8F">
              <w:rPr>
                <w:rFonts w:ascii="Arial" w:hAnsi="Arial" w:cs="Arial"/>
                <w:sz w:val="20"/>
                <w:szCs w:val="20"/>
              </w:rPr>
              <w:t>to</w:t>
            </w:r>
            <w:r>
              <w:rPr>
                <w:rFonts w:ascii="Arial" w:hAnsi="Arial" w:cs="Arial"/>
                <w:sz w:val="20"/>
                <w:szCs w:val="20"/>
              </w:rPr>
              <w:t xml:space="preserve"> </w:t>
            </w:r>
            <w:r w:rsidRPr="00791D8F">
              <w:rPr>
                <w:rFonts w:ascii="Arial" w:hAnsi="Arial" w:cs="Arial"/>
                <w:sz w:val="20"/>
                <w:szCs w:val="20"/>
              </w:rPr>
              <w:t xml:space="preserve">enhance the development of multi-agency shared situational awareness, which can most effectively inform their Fire Service command, control and coordination during no-notice major incidents (Ref 5.212 of </w:t>
            </w:r>
            <w:r>
              <w:rPr>
                <w:rFonts w:ascii="Arial" w:hAnsi="Arial" w:cs="Arial"/>
                <w:sz w:val="20"/>
                <w:szCs w:val="20"/>
              </w:rPr>
              <w:t>report</w:t>
            </w:r>
            <w:r w:rsidRPr="00791D8F">
              <w:rPr>
                <w:rFonts w:ascii="Arial" w:hAnsi="Arial" w:cs="Arial"/>
                <w:sz w:val="20"/>
                <w:szCs w:val="20"/>
              </w:rPr>
              <w:t>).</w:t>
            </w:r>
          </w:p>
        </w:tc>
        <w:tc>
          <w:tcPr>
            <w:tcW w:w="1734" w:type="dxa"/>
          </w:tcPr>
          <w:p w14:paraId="00FDC956" w14:textId="77777777" w:rsidR="00770ABD" w:rsidRPr="00791D8F" w:rsidRDefault="00770ABD" w:rsidP="00DD3FCD">
            <w:pPr>
              <w:spacing w:line="240" w:lineRule="auto"/>
              <w:rPr>
                <w:rFonts w:ascii="Arial" w:hAnsi="Arial" w:cs="Arial"/>
                <w:sz w:val="20"/>
                <w:szCs w:val="20"/>
              </w:rPr>
            </w:pPr>
          </w:p>
        </w:tc>
        <w:tc>
          <w:tcPr>
            <w:tcW w:w="5354" w:type="dxa"/>
          </w:tcPr>
          <w:p w14:paraId="23219A72" w14:textId="77777777" w:rsidR="00770ABD" w:rsidRPr="00791D8F" w:rsidRDefault="00770ABD" w:rsidP="00A332BA">
            <w:pPr>
              <w:spacing w:line="240" w:lineRule="auto"/>
              <w:rPr>
                <w:rFonts w:ascii="Arial" w:hAnsi="Arial" w:cs="Arial"/>
                <w:sz w:val="20"/>
                <w:szCs w:val="20"/>
              </w:rPr>
            </w:pPr>
          </w:p>
        </w:tc>
        <w:tc>
          <w:tcPr>
            <w:tcW w:w="1735" w:type="dxa"/>
          </w:tcPr>
          <w:p w14:paraId="5B2ED5B7" w14:textId="77777777" w:rsidR="00770ABD" w:rsidRPr="00791D8F" w:rsidRDefault="00770ABD" w:rsidP="00DD3FCD">
            <w:pPr>
              <w:spacing w:line="240" w:lineRule="auto"/>
              <w:rPr>
                <w:rFonts w:ascii="Arial" w:hAnsi="Arial" w:cs="Arial"/>
                <w:sz w:val="20"/>
                <w:szCs w:val="20"/>
              </w:rPr>
            </w:pPr>
          </w:p>
        </w:tc>
      </w:tr>
      <w:tr w:rsidR="00770ABD" w14:paraId="571BC6FC" w14:textId="77777777" w:rsidTr="00791D8F">
        <w:tc>
          <w:tcPr>
            <w:tcW w:w="534" w:type="dxa"/>
          </w:tcPr>
          <w:p w14:paraId="09CCEEDD" w14:textId="77777777" w:rsidR="00770ABD" w:rsidRPr="00791D8F" w:rsidRDefault="00770ABD" w:rsidP="00323067">
            <w:pPr>
              <w:spacing w:line="240" w:lineRule="auto"/>
              <w:jc w:val="center"/>
              <w:rPr>
                <w:rFonts w:ascii="Arial" w:hAnsi="Arial" w:cs="Arial"/>
                <w:sz w:val="20"/>
                <w:szCs w:val="20"/>
              </w:rPr>
            </w:pPr>
            <w:r>
              <w:rPr>
                <w:rFonts w:ascii="Arial" w:hAnsi="Arial" w:cs="Arial"/>
                <w:sz w:val="20"/>
                <w:szCs w:val="20"/>
              </w:rPr>
              <w:t>03</w:t>
            </w:r>
          </w:p>
        </w:tc>
        <w:tc>
          <w:tcPr>
            <w:tcW w:w="4819" w:type="dxa"/>
          </w:tcPr>
          <w:p w14:paraId="15F438EE" w14:textId="77777777" w:rsidR="00770ABD" w:rsidRPr="00791D8F" w:rsidRDefault="00A332BA" w:rsidP="00DC66AB">
            <w:pPr>
              <w:spacing w:line="240" w:lineRule="auto"/>
              <w:jc w:val="both"/>
              <w:rPr>
                <w:rFonts w:ascii="Arial" w:hAnsi="Arial" w:cs="Arial"/>
                <w:sz w:val="20"/>
                <w:szCs w:val="20"/>
              </w:rPr>
            </w:pPr>
            <w:r w:rsidRPr="00323067">
              <w:rPr>
                <w:rFonts w:ascii="Arial" w:hAnsi="Arial" w:cs="Arial"/>
                <w:sz w:val="20"/>
                <w:szCs w:val="20"/>
              </w:rPr>
              <w:t xml:space="preserve">All </w:t>
            </w:r>
            <w:r>
              <w:rPr>
                <w:rFonts w:ascii="Arial" w:hAnsi="Arial" w:cs="Arial"/>
                <w:b/>
                <w:i/>
                <w:color w:val="FF0000"/>
                <w:sz w:val="20"/>
                <w:szCs w:val="20"/>
              </w:rPr>
              <w:t xml:space="preserve">FRS </w:t>
            </w:r>
            <w:r w:rsidRPr="00323067">
              <w:rPr>
                <w:rFonts w:ascii="Arial" w:hAnsi="Arial" w:cs="Arial"/>
                <w:b/>
                <w:i/>
                <w:color w:val="FF0000"/>
                <w:sz w:val="20"/>
                <w:szCs w:val="20"/>
              </w:rPr>
              <w:t>operational personnel</w:t>
            </w:r>
            <w:r w:rsidRPr="00323067">
              <w:rPr>
                <w:rFonts w:ascii="Arial" w:hAnsi="Arial" w:cs="Arial"/>
                <w:color w:val="FF0000"/>
                <w:sz w:val="20"/>
                <w:szCs w:val="20"/>
              </w:rPr>
              <w:t xml:space="preserve"> </w:t>
            </w:r>
            <w:r w:rsidRPr="00323067">
              <w:rPr>
                <w:rFonts w:ascii="Arial" w:hAnsi="Arial" w:cs="Arial"/>
                <w:sz w:val="20"/>
                <w:szCs w:val="20"/>
              </w:rPr>
              <w:t>should be sufficiently trained and equipped to attend a nominated multi agency rendezvous point during terrorist-related and suspected terrorist</w:t>
            </w:r>
            <w:r>
              <w:rPr>
                <w:rFonts w:ascii="Arial" w:hAnsi="Arial" w:cs="Arial"/>
                <w:sz w:val="20"/>
                <w:szCs w:val="20"/>
              </w:rPr>
              <w:t xml:space="preserve"> </w:t>
            </w:r>
            <w:r w:rsidRPr="00323067">
              <w:rPr>
                <w:rFonts w:ascii="Arial" w:hAnsi="Arial" w:cs="Arial"/>
                <w:sz w:val="20"/>
                <w:szCs w:val="20"/>
              </w:rPr>
              <w:t>related incidents (</w:t>
            </w:r>
            <w:r>
              <w:rPr>
                <w:rFonts w:ascii="Arial" w:hAnsi="Arial" w:cs="Arial"/>
                <w:sz w:val="20"/>
                <w:szCs w:val="20"/>
              </w:rPr>
              <w:t xml:space="preserve">Ref </w:t>
            </w:r>
            <w:r w:rsidRPr="00323067">
              <w:rPr>
                <w:rFonts w:ascii="Arial" w:hAnsi="Arial" w:cs="Arial"/>
                <w:sz w:val="20"/>
                <w:szCs w:val="20"/>
              </w:rPr>
              <w:t>5.212</w:t>
            </w:r>
            <w:r>
              <w:rPr>
                <w:rFonts w:ascii="Arial" w:hAnsi="Arial" w:cs="Arial"/>
                <w:sz w:val="20"/>
                <w:szCs w:val="20"/>
              </w:rPr>
              <w:t xml:space="preserve"> of report).</w:t>
            </w:r>
          </w:p>
        </w:tc>
        <w:tc>
          <w:tcPr>
            <w:tcW w:w="1734" w:type="dxa"/>
          </w:tcPr>
          <w:p w14:paraId="5538AF1E" w14:textId="77777777" w:rsidR="00770ABD" w:rsidRPr="00791D8F" w:rsidRDefault="00770ABD" w:rsidP="00DD3FCD">
            <w:pPr>
              <w:spacing w:line="240" w:lineRule="auto"/>
              <w:rPr>
                <w:rFonts w:ascii="Arial" w:hAnsi="Arial" w:cs="Arial"/>
                <w:sz w:val="20"/>
                <w:szCs w:val="20"/>
              </w:rPr>
            </w:pPr>
          </w:p>
        </w:tc>
        <w:tc>
          <w:tcPr>
            <w:tcW w:w="5354" w:type="dxa"/>
          </w:tcPr>
          <w:p w14:paraId="7AA2F5A0" w14:textId="77777777" w:rsidR="00770ABD" w:rsidRPr="00791D8F" w:rsidRDefault="00770ABD" w:rsidP="00DD3FCD">
            <w:pPr>
              <w:spacing w:line="240" w:lineRule="auto"/>
              <w:rPr>
                <w:rFonts w:ascii="Arial" w:hAnsi="Arial" w:cs="Arial"/>
                <w:sz w:val="20"/>
                <w:szCs w:val="20"/>
              </w:rPr>
            </w:pPr>
          </w:p>
        </w:tc>
        <w:tc>
          <w:tcPr>
            <w:tcW w:w="1735" w:type="dxa"/>
          </w:tcPr>
          <w:p w14:paraId="58B5F243" w14:textId="77777777" w:rsidR="00770ABD" w:rsidRPr="00791D8F" w:rsidRDefault="00770ABD" w:rsidP="00DD3FCD">
            <w:pPr>
              <w:spacing w:line="240" w:lineRule="auto"/>
              <w:rPr>
                <w:rFonts w:ascii="Arial" w:hAnsi="Arial" w:cs="Arial"/>
                <w:sz w:val="20"/>
                <w:szCs w:val="20"/>
              </w:rPr>
            </w:pPr>
          </w:p>
        </w:tc>
      </w:tr>
      <w:tr w:rsidR="00A332BA" w14:paraId="632D7BE8" w14:textId="77777777" w:rsidTr="00791D8F">
        <w:tc>
          <w:tcPr>
            <w:tcW w:w="534" w:type="dxa"/>
          </w:tcPr>
          <w:p w14:paraId="5FAD98CC" w14:textId="77777777" w:rsidR="00A332BA" w:rsidRPr="00791D8F" w:rsidRDefault="00A332BA" w:rsidP="00323067">
            <w:pPr>
              <w:spacing w:line="240" w:lineRule="auto"/>
              <w:jc w:val="center"/>
              <w:rPr>
                <w:rFonts w:ascii="Arial" w:hAnsi="Arial" w:cs="Arial"/>
                <w:sz w:val="20"/>
                <w:szCs w:val="20"/>
              </w:rPr>
            </w:pPr>
            <w:r>
              <w:rPr>
                <w:rFonts w:ascii="Arial" w:hAnsi="Arial" w:cs="Arial"/>
                <w:sz w:val="20"/>
                <w:szCs w:val="20"/>
              </w:rPr>
              <w:t>04</w:t>
            </w:r>
          </w:p>
        </w:tc>
        <w:tc>
          <w:tcPr>
            <w:tcW w:w="4819" w:type="dxa"/>
          </w:tcPr>
          <w:p w14:paraId="21CBAF7D" w14:textId="77777777" w:rsidR="00A332BA" w:rsidRPr="00791D8F" w:rsidRDefault="00A332BA" w:rsidP="00DC66AB">
            <w:pPr>
              <w:spacing w:line="240" w:lineRule="auto"/>
              <w:jc w:val="both"/>
              <w:rPr>
                <w:rFonts w:ascii="Arial" w:hAnsi="Arial" w:cs="Arial"/>
                <w:sz w:val="20"/>
                <w:szCs w:val="20"/>
              </w:rPr>
            </w:pPr>
            <w:r w:rsidRPr="00323067">
              <w:rPr>
                <w:rFonts w:ascii="Arial" w:hAnsi="Arial" w:cs="Arial"/>
                <w:b/>
                <w:i/>
                <w:color w:val="FF0000"/>
                <w:sz w:val="20"/>
                <w:szCs w:val="20"/>
              </w:rPr>
              <w:t>FRS in collaboration with their respective control rooms</w:t>
            </w:r>
            <w:r>
              <w:rPr>
                <w:rFonts w:ascii="Arial" w:hAnsi="Arial" w:cs="Arial"/>
                <w:sz w:val="20"/>
                <w:szCs w:val="20"/>
              </w:rPr>
              <w:t xml:space="preserve">; </w:t>
            </w:r>
            <w:r w:rsidRPr="00323067">
              <w:rPr>
                <w:rFonts w:ascii="Arial" w:hAnsi="Arial" w:cs="Arial"/>
                <w:sz w:val="20"/>
                <w:szCs w:val="20"/>
              </w:rPr>
              <w:t>should</w:t>
            </w:r>
            <w:r>
              <w:rPr>
                <w:rFonts w:ascii="Arial" w:hAnsi="Arial" w:cs="Arial"/>
                <w:sz w:val="20"/>
                <w:szCs w:val="20"/>
              </w:rPr>
              <w:t xml:space="preserve"> </w:t>
            </w:r>
            <w:r w:rsidRPr="00323067">
              <w:rPr>
                <w:rFonts w:ascii="Arial" w:hAnsi="Arial" w:cs="Arial"/>
                <w:sz w:val="20"/>
                <w:szCs w:val="20"/>
              </w:rPr>
              <w:t>revise their policies and procedures (including action plans) for Bomb, Explosion</w:t>
            </w:r>
            <w:r>
              <w:rPr>
                <w:rFonts w:ascii="Arial" w:hAnsi="Arial" w:cs="Arial"/>
                <w:sz w:val="20"/>
                <w:szCs w:val="20"/>
              </w:rPr>
              <w:t xml:space="preserve"> </w:t>
            </w:r>
            <w:r w:rsidRPr="00323067">
              <w:rPr>
                <w:rFonts w:ascii="Arial" w:hAnsi="Arial" w:cs="Arial"/>
                <w:sz w:val="20"/>
                <w:szCs w:val="20"/>
              </w:rPr>
              <w:t>and Marauding Terrorist Firearms Attack to ensure that greater emphasis is</w:t>
            </w:r>
            <w:r>
              <w:rPr>
                <w:rFonts w:ascii="Arial" w:hAnsi="Arial" w:cs="Arial"/>
                <w:sz w:val="20"/>
                <w:szCs w:val="20"/>
              </w:rPr>
              <w:t xml:space="preserve"> </w:t>
            </w:r>
            <w:r w:rsidRPr="00323067">
              <w:rPr>
                <w:rFonts w:ascii="Arial" w:hAnsi="Arial" w:cs="Arial"/>
                <w:sz w:val="20"/>
                <w:szCs w:val="20"/>
              </w:rPr>
              <w:t>placed on multi-agency co-location, communication and coordination (Ref 5.212 of</w:t>
            </w:r>
            <w:r>
              <w:rPr>
                <w:rFonts w:ascii="Arial" w:hAnsi="Arial" w:cs="Arial"/>
                <w:sz w:val="20"/>
                <w:szCs w:val="20"/>
              </w:rPr>
              <w:t xml:space="preserve"> report). </w:t>
            </w:r>
          </w:p>
        </w:tc>
        <w:tc>
          <w:tcPr>
            <w:tcW w:w="1734" w:type="dxa"/>
          </w:tcPr>
          <w:p w14:paraId="1E181F09" w14:textId="77777777" w:rsidR="00A332BA" w:rsidRPr="00791D8F" w:rsidRDefault="00A332BA" w:rsidP="00DD3FCD">
            <w:pPr>
              <w:spacing w:line="240" w:lineRule="auto"/>
              <w:rPr>
                <w:rFonts w:ascii="Arial" w:hAnsi="Arial" w:cs="Arial"/>
                <w:sz w:val="20"/>
                <w:szCs w:val="20"/>
              </w:rPr>
            </w:pPr>
          </w:p>
        </w:tc>
        <w:tc>
          <w:tcPr>
            <w:tcW w:w="5354" w:type="dxa"/>
          </w:tcPr>
          <w:p w14:paraId="1E6B60D5" w14:textId="77777777" w:rsidR="00A332BA" w:rsidRPr="00791D8F" w:rsidRDefault="00A332BA" w:rsidP="00DD3FCD">
            <w:pPr>
              <w:spacing w:line="240" w:lineRule="auto"/>
              <w:rPr>
                <w:rFonts w:ascii="Arial" w:hAnsi="Arial" w:cs="Arial"/>
                <w:sz w:val="20"/>
                <w:szCs w:val="20"/>
              </w:rPr>
            </w:pPr>
          </w:p>
        </w:tc>
        <w:tc>
          <w:tcPr>
            <w:tcW w:w="1735" w:type="dxa"/>
          </w:tcPr>
          <w:p w14:paraId="186E8693" w14:textId="77777777" w:rsidR="00A332BA" w:rsidRPr="00791D8F" w:rsidRDefault="00A332BA" w:rsidP="00DD3FCD">
            <w:pPr>
              <w:spacing w:line="240" w:lineRule="auto"/>
              <w:rPr>
                <w:rFonts w:ascii="Arial" w:hAnsi="Arial" w:cs="Arial"/>
                <w:sz w:val="20"/>
                <w:szCs w:val="20"/>
              </w:rPr>
            </w:pPr>
          </w:p>
        </w:tc>
      </w:tr>
      <w:tr w:rsidR="00D9665F" w14:paraId="27F4D475" w14:textId="77777777" w:rsidTr="00791D8F">
        <w:tc>
          <w:tcPr>
            <w:tcW w:w="534" w:type="dxa"/>
          </w:tcPr>
          <w:p w14:paraId="62F7708F" w14:textId="77777777" w:rsidR="00D9665F" w:rsidRPr="00791D8F" w:rsidRDefault="00D9665F" w:rsidP="00D9665F">
            <w:pPr>
              <w:spacing w:line="240" w:lineRule="auto"/>
              <w:jc w:val="center"/>
              <w:rPr>
                <w:rFonts w:ascii="Arial" w:hAnsi="Arial" w:cs="Arial"/>
                <w:sz w:val="20"/>
                <w:szCs w:val="20"/>
              </w:rPr>
            </w:pPr>
            <w:r>
              <w:rPr>
                <w:rFonts w:ascii="Arial" w:hAnsi="Arial" w:cs="Arial"/>
                <w:sz w:val="20"/>
                <w:szCs w:val="20"/>
              </w:rPr>
              <w:t>05</w:t>
            </w:r>
          </w:p>
        </w:tc>
        <w:tc>
          <w:tcPr>
            <w:tcW w:w="4819" w:type="dxa"/>
          </w:tcPr>
          <w:p w14:paraId="49A612C3" w14:textId="77777777" w:rsidR="00D9665F" w:rsidRPr="00791D8F" w:rsidRDefault="00D9665F" w:rsidP="00D9665F">
            <w:pPr>
              <w:spacing w:line="240" w:lineRule="auto"/>
              <w:jc w:val="both"/>
              <w:rPr>
                <w:rFonts w:ascii="Arial" w:hAnsi="Arial" w:cs="Arial"/>
                <w:sz w:val="20"/>
                <w:szCs w:val="20"/>
              </w:rPr>
            </w:pPr>
            <w:r w:rsidRPr="00323067">
              <w:rPr>
                <w:rFonts w:ascii="Arial" w:hAnsi="Arial" w:cs="Arial"/>
                <w:b/>
                <w:i/>
                <w:color w:val="FF0000"/>
                <w:sz w:val="20"/>
                <w:szCs w:val="20"/>
              </w:rPr>
              <w:t xml:space="preserve">FRS </w:t>
            </w:r>
            <w:r w:rsidRPr="00323067">
              <w:rPr>
                <w:rFonts w:ascii="Arial" w:hAnsi="Arial" w:cs="Arial"/>
                <w:sz w:val="20"/>
                <w:szCs w:val="20"/>
              </w:rPr>
              <w:t>should review the procedures,</w:t>
            </w:r>
            <w:r>
              <w:rPr>
                <w:rFonts w:ascii="Arial" w:hAnsi="Arial" w:cs="Arial"/>
                <w:sz w:val="20"/>
                <w:szCs w:val="20"/>
              </w:rPr>
              <w:t xml:space="preserve"> </w:t>
            </w:r>
            <w:r w:rsidRPr="00323067">
              <w:rPr>
                <w:rFonts w:ascii="Arial" w:hAnsi="Arial" w:cs="Arial"/>
                <w:sz w:val="20"/>
                <w:szCs w:val="20"/>
              </w:rPr>
              <w:t>protocols and expectations that underpin communications links between its Inter-</w:t>
            </w:r>
            <w:r>
              <w:rPr>
                <w:rFonts w:ascii="Arial" w:hAnsi="Arial" w:cs="Arial"/>
                <w:sz w:val="20"/>
                <w:szCs w:val="20"/>
              </w:rPr>
              <w:t xml:space="preserve"> </w:t>
            </w:r>
            <w:r w:rsidRPr="00323067">
              <w:rPr>
                <w:rFonts w:ascii="Arial" w:hAnsi="Arial" w:cs="Arial"/>
                <w:sz w:val="20"/>
                <w:szCs w:val="20"/>
              </w:rPr>
              <w:t xml:space="preserve">Agency Liaison Officers, </w:t>
            </w:r>
            <w:r w:rsidRPr="00323067">
              <w:rPr>
                <w:rFonts w:ascii="Arial" w:hAnsi="Arial" w:cs="Arial"/>
                <w:b/>
                <w:i/>
                <w:color w:val="FF0000"/>
                <w:sz w:val="20"/>
                <w:szCs w:val="20"/>
              </w:rPr>
              <w:t>Police Force Duty Office</w:t>
            </w:r>
            <w:r>
              <w:rPr>
                <w:rFonts w:ascii="Arial" w:hAnsi="Arial" w:cs="Arial"/>
                <w:b/>
                <w:i/>
                <w:color w:val="FF0000"/>
                <w:sz w:val="20"/>
                <w:szCs w:val="20"/>
              </w:rPr>
              <w:t>rs</w:t>
            </w:r>
            <w:r w:rsidRPr="00323067">
              <w:rPr>
                <w:rFonts w:ascii="Arial" w:hAnsi="Arial" w:cs="Arial"/>
                <w:sz w:val="20"/>
                <w:szCs w:val="20"/>
              </w:rPr>
              <w:t xml:space="preserve"> and other partners’ control rooms and critical response assets (e.g. Hazardous Area Response Teams) (Ref 5.212 of </w:t>
            </w:r>
            <w:r>
              <w:rPr>
                <w:rFonts w:ascii="Arial" w:hAnsi="Arial" w:cs="Arial"/>
                <w:sz w:val="20"/>
                <w:szCs w:val="20"/>
              </w:rPr>
              <w:t>report</w:t>
            </w:r>
            <w:r w:rsidRPr="00323067">
              <w:rPr>
                <w:rFonts w:ascii="Arial" w:hAnsi="Arial" w:cs="Arial"/>
                <w:sz w:val="20"/>
                <w:szCs w:val="20"/>
              </w:rPr>
              <w:t>).</w:t>
            </w:r>
          </w:p>
        </w:tc>
        <w:tc>
          <w:tcPr>
            <w:tcW w:w="1734" w:type="dxa"/>
          </w:tcPr>
          <w:p w14:paraId="032AA380" w14:textId="77777777" w:rsidR="00D9665F" w:rsidRPr="00791D8F" w:rsidRDefault="00D9665F" w:rsidP="00D9665F">
            <w:pPr>
              <w:spacing w:line="240" w:lineRule="auto"/>
              <w:rPr>
                <w:rFonts w:ascii="Arial" w:hAnsi="Arial" w:cs="Arial"/>
                <w:sz w:val="20"/>
                <w:szCs w:val="20"/>
              </w:rPr>
            </w:pPr>
            <w:r>
              <w:rPr>
                <w:rFonts w:ascii="Arial" w:hAnsi="Arial" w:cs="Arial"/>
                <w:sz w:val="20"/>
                <w:szCs w:val="20"/>
              </w:rPr>
              <w:t>27</w:t>
            </w:r>
            <w:r w:rsidRPr="00B02212">
              <w:rPr>
                <w:rFonts w:ascii="Arial" w:hAnsi="Arial" w:cs="Arial"/>
                <w:sz w:val="20"/>
                <w:szCs w:val="20"/>
                <w:vertAlign w:val="superscript"/>
              </w:rPr>
              <w:t>th</w:t>
            </w:r>
            <w:r>
              <w:rPr>
                <w:rFonts w:ascii="Arial" w:hAnsi="Arial" w:cs="Arial"/>
                <w:sz w:val="20"/>
                <w:szCs w:val="20"/>
              </w:rPr>
              <w:t xml:space="preserve"> March 2018</w:t>
            </w:r>
          </w:p>
        </w:tc>
        <w:tc>
          <w:tcPr>
            <w:tcW w:w="5354" w:type="dxa"/>
          </w:tcPr>
          <w:p w14:paraId="15CF251E" w14:textId="77777777" w:rsidR="00D9665F" w:rsidRPr="00791D8F" w:rsidRDefault="00D9665F" w:rsidP="007D40BE">
            <w:pPr>
              <w:spacing w:line="240" w:lineRule="auto"/>
              <w:jc w:val="both"/>
              <w:rPr>
                <w:rFonts w:ascii="Arial" w:hAnsi="Arial" w:cs="Arial"/>
                <w:sz w:val="20"/>
                <w:szCs w:val="20"/>
              </w:rPr>
            </w:pPr>
            <w:r>
              <w:rPr>
                <w:rFonts w:ascii="Arial" w:hAnsi="Arial" w:cs="Arial"/>
                <w:sz w:val="20"/>
                <w:szCs w:val="20"/>
              </w:rPr>
              <w:t>NFCC NILO position statement agreed at the</w:t>
            </w:r>
            <w:r w:rsidR="007D40BE">
              <w:rPr>
                <w:rFonts w:ascii="Arial" w:hAnsi="Arial" w:cs="Arial"/>
                <w:sz w:val="20"/>
                <w:szCs w:val="20"/>
              </w:rPr>
              <w:t xml:space="preserve"> </w:t>
            </w:r>
            <w:r>
              <w:rPr>
                <w:rFonts w:ascii="Arial" w:hAnsi="Arial" w:cs="Arial"/>
                <w:sz w:val="20"/>
                <w:szCs w:val="20"/>
              </w:rPr>
              <w:t>Operations Coordination Committee 18</w:t>
            </w:r>
            <w:r w:rsidRPr="00B02212">
              <w:rPr>
                <w:rFonts w:ascii="Arial" w:hAnsi="Arial" w:cs="Arial"/>
                <w:sz w:val="20"/>
                <w:szCs w:val="20"/>
                <w:vertAlign w:val="superscript"/>
              </w:rPr>
              <w:t>th</w:t>
            </w:r>
            <w:r>
              <w:rPr>
                <w:rFonts w:ascii="Arial" w:hAnsi="Arial" w:cs="Arial"/>
                <w:sz w:val="20"/>
                <w:szCs w:val="20"/>
              </w:rPr>
              <w:t xml:space="preserve"> April</w:t>
            </w:r>
            <w:r w:rsidR="007D40BE">
              <w:rPr>
                <w:rFonts w:ascii="Arial" w:hAnsi="Arial" w:cs="Arial"/>
                <w:sz w:val="20"/>
                <w:szCs w:val="20"/>
              </w:rPr>
              <w:t xml:space="preserve"> </w:t>
            </w:r>
            <w:r>
              <w:rPr>
                <w:rFonts w:ascii="Arial" w:hAnsi="Arial" w:cs="Arial"/>
                <w:sz w:val="20"/>
                <w:szCs w:val="20"/>
              </w:rPr>
              <w:t>Review of MTFA ConOps and NOG initiated to remove any reference to the NILO in a command role</w:t>
            </w:r>
            <w:r w:rsidR="007D40BE">
              <w:rPr>
                <w:rFonts w:ascii="Arial" w:hAnsi="Arial" w:cs="Arial"/>
                <w:sz w:val="20"/>
                <w:szCs w:val="20"/>
              </w:rPr>
              <w:t>.</w:t>
            </w:r>
          </w:p>
        </w:tc>
        <w:tc>
          <w:tcPr>
            <w:tcW w:w="1735" w:type="dxa"/>
          </w:tcPr>
          <w:p w14:paraId="46CFAB8B" w14:textId="77777777" w:rsidR="00D9665F" w:rsidRPr="00791D8F" w:rsidRDefault="00D9665F" w:rsidP="00D9665F">
            <w:pPr>
              <w:spacing w:line="240" w:lineRule="auto"/>
              <w:rPr>
                <w:rFonts w:ascii="Arial" w:hAnsi="Arial" w:cs="Arial"/>
                <w:sz w:val="20"/>
                <w:szCs w:val="20"/>
              </w:rPr>
            </w:pPr>
          </w:p>
        </w:tc>
      </w:tr>
      <w:tr w:rsidR="00D9665F" w14:paraId="5BF24451" w14:textId="77777777" w:rsidTr="00791D8F">
        <w:tc>
          <w:tcPr>
            <w:tcW w:w="534" w:type="dxa"/>
          </w:tcPr>
          <w:p w14:paraId="768741A0" w14:textId="77777777" w:rsidR="00D9665F" w:rsidRPr="00791D8F" w:rsidRDefault="00D9665F" w:rsidP="00D9665F">
            <w:pPr>
              <w:spacing w:line="240" w:lineRule="auto"/>
              <w:jc w:val="center"/>
              <w:rPr>
                <w:rFonts w:ascii="Arial" w:hAnsi="Arial" w:cs="Arial"/>
                <w:sz w:val="20"/>
                <w:szCs w:val="20"/>
              </w:rPr>
            </w:pPr>
            <w:r w:rsidRPr="00791D8F">
              <w:rPr>
                <w:rFonts w:ascii="Arial" w:hAnsi="Arial" w:cs="Arial"/>
                <w:sz w:val="20"/>
                <w:szCs w:val="20"/>
              </w:rPr>
              <w:t>06</w:t>
            </w:r>
          </w:p>
        </w:tc>
        <w:tc>
          <w:tcPr>
            <w:tcW w:w="4819" w:type="dxa"/>
          </w:tcPr>
          <w:p w14:paraId="3DED8F03" w14:textId="77777777" w:rsidR="00D9665F" w:rsidRPr="00791D8F" w:rsidRDefault="00D9665F" w:rsidP="00D9665F">
            <w:pPr>
              <w:spacing w:line="240" w:lineRule="auto"/>
              <w:jc w:val="both"/>
              <w:rPr>
                <w:rFonts w:ascii="Arial" w:hAnsi="Arial" w:cs="Arial"/>
                <w:sz w:val="20"/>
                <w:szCs w:val="20"/>
              </w:rPr>
            </w:pPr>
            <w:r w:rsidRPr="00323067">
              <w:rPr>
                <w:rFonts w:ascii="Arial" w:hAnsi="Arial" w:cs="Arial"/>
                <w:sz w:val="20"/>
                <w:szCs w:val="20"/>
              </w:rPr>
              <w:t>The</w:t>
            </w:r>
            <w:r>
              <w:rPr>
                <w:rFonts w:ascii="Arial" w:hAnsi="Arial" w:cs="Arial"/>
                <w:sz w:val="20"/>
                <w:szCs w:val="20"/>
              </w:rPr>
              <w:t xml:space="preserve"> </w:t>
            </w:r>
            <w:r w:rsidRPr="00323067">
              <w:rPr>
                <w:rFonts w:ascii="Arial" w:hAnsi="Arial" w:cs="Arial"/>
                <w:sz w:val="20"/>
                <w:szCs w:val="20"/>
              </w:rPr>
              <w:t>National Fire Chiefs’ Council and</w:t>
            </w:r>
            <w:r>
              <w:rPr>
                <w:rFonts w:ascii="Arial" w:hAnsi="Arial" w:cs="Arial"/>
                <w:sz w:val="20"/>
                <w:szCs w:val="20"/>
              </w:rPr>
              <w:t xml:space="preserve"> </w:t>
            </w:r>
            <w:r w:rsidRPr="00323067">
              <w:rPr>
                <w:rFonts w:ascii="Arial" w:hAnsi="Arial" w:cs="Arial"/>
                <w:b/>
                <w:i/>
                <w:color w:val="FF0000"/>
                <w:sz w:val="20"/>
                <w:szCs w:val="20"/>
              </w:rPr>
              <w:t>FRS</w:t>
            </w:r>
            <w:r>
              <w:rPr>
                <w:rFonts w:ascii="Arial" w:hAnsi="Arial" w:cs="Arial"/>
                <w:sz w:val="20"/>
                <w:szCs w:val="20"/>
              </w:rPr>
              <w:t xml:space="preserve"> </w:t>
            </w:r>
            <w:r w:rsidRPr="00323067">
              <w:rPr>
                <w:rFonts w:ascii="Arial" w:hAnsi="Arial" w:cs="Arial"/>
                <w:sz w:val="20"/>
                <w:szCs w:val="20"/>
              </w:rPr>
              <w:t>should revise all policies, procedures and training for National Inter-Agency Liaison Officers and Incident Commanders to ensure that greater emphasis is placed on embedding multi-agency co-location, communication and coordination during major incidents into</w:t>
            </w:r>
            <w:r>
              <w:rPr>
                <w:rFonts w:ascii="Arial" w:hAnsi="Arial" w:cs="Arial"/>
                <w:sz w:val="20"/>
                <w:szCs w:val="20"/>
              </w:rPr>
              <w:t xml:space="preserve"> </w:t>
            </w:r>
            <w:r w:rsidRPr="00323067">
              <w:rPr>
                <w:rFonts w:ascii="Arial" w:hAnsi="Arial" w:cs="Arial"/>
                <w:sz w:val="20"/>
                <w:szCs w:val="20"/>
              </w:rPr>
              <w:t>standard operating procedures</w:t>
            </w:r>
            <w:r>
              <w:rPr>
                <w:rFonts w:ascii="Arial" w:hAnsi="Arial" w:cs="Arial"/>
                <w:sz w:val="20"/>
                <w:szCs w:val="20"/>
              </w:rPr>
              <w:t xml:space="preserve"> (Ref </w:t>
            </w:r>
            <w:r w:rsidRPr="00323067">
              <w:rPr>
                <w:rFonts w:ascii="Arial" w:hAnsi="Arial" w:cs="Arial"/>
                <w:sz w:val="20"/>
                <w:szCs w:val="20"/>
              </w:rPr>
              <w:t>5.212</w:t>
            </w:r>
            <w:r>
              <w:rPr>
                <w:rFonts w:ascii="Arial" w:hAnsi="Arial" w:cs="Arial"/>
                <w:sz w:val="20"/>
                <w:szCs w:val="20"/>
              </w:rPr>
              <w:t xml:space="preserve"> of report</w:t>
            </w:r>
            <w:r w:rsidRPr="00323067">
              <w:rPr>
                <w:rFonts w:ascii="Arial" w:hAnsi="Arial" w:cs="Arial"/>
                <w:sz w:val="20"/>
                <w:szCs w:val="20"/>
              </w:rPr>
              <w:t>).</w:t>
            </w:r>
          </w:p>
        </w:tc>
        <w:tc>
          <w:tcPr>
            <w:tcW w:w="1734" w:type="dxa"/>
          </w:tcPr>
          <w:p w14:paraId="5D94318B" w14:textId="77777777" w:rsidR="00D9665F" w:rsidRPr="00791D8F" w:rsidRDefault="00D9665F" w:rsidP="00D9665F">
            <w:pPr>
              <w:spacing w:line="240" w:lineRule="auto"/>
              <w:rPr>
                <w:rFonts w:ascii="Arial" w:hAnsi="Arial" w:cs="Arial"/>
                <w:sz w:val="20"/>
                <w:szCs w:val="20"/>
              </w:rPr>
            </w:pPr>
            <w:r>
              <w:rPr>
                <w:rFonts w:ascii="Arial" w:hAnsi="Arial" w:cs="Arial"/>
                <w:sz w:val="20"/>
                <w:szCs w:val="20"/>
              </w:rPr>
              <w:t>27</w:t>
            </w:r>
            <w:r w:rsidRPr="007D40BE">
              <w:rPr>
                <w:rFonts w:ascii="Arial" w:hAnsi="Arial" w:cs="Arial"/>
                <w:sz w:val="20"/>
                <w:szCs w:val="20"/>
                <w:vertAlign w:val="superscript"/>
              </w:rPr>
              <w:t>th</w:t>
            </w:r>
            <w:r>
              <w:rPr>
                <w:rFonts w:ascii="Arial" w:hAnsi="Arial" w:cs="Arial"/>
                <w:sz w:val="20"/>
                <w:szCs w:val="20"/>
              </w:rPr>
              <w:t xml:space="preserve"> March 2018</w:t>
            </w:r>
          </w:p>
        </w:tc>
        <w:tc>
          <w:tcPr>
            <w:tcW w:w="5354" w:type="dxa"/>
          </w:tcPr>
          <w:p w14:paraId="193D77F7" w14:textId="77777777" w:rsidR="00D9665F" w:rsidRPr="00791D8F" w:rsidRDefault="007D40BE" w:rsidP="00D9665F">
            <w:pPr>
              <w:spacing w:line="240" w:lineRule="auto"/>
              <w:rPr>
                <w:rFonts w:ascii="Arial" w:hAnsi="Arial" w:cs="Arial"/>
                <w:sz w:val="20"/>
                <w:szCs w:val="20"/>
              </w:rPr>
            </w:pPr>
            <w:r>
              <w:rPr>
                <w:rFonts w:ascii="Arial" w:hAnsi="Arial" w:cs="Arial"/>
                <w:sz w:val="20"/>
                <w:szCs w:val="20"/>
              </w:rPr>
              <w:t>NFCC NILO position statement agreed at the Operations Coordination Committee 18</w:t>
            </w:r>
            <w:r w:rsidRPr="00B02212">
              <w:rPr>
                <w:rFonts w:ascii="Arial" w:hAnsi="Arial" w:cs="Arial"/>
                <w:sz w:val="20"/>
                <w:szCs w:val="20"/>
                <w:vertAlign w:val="superscript"/>
              </w:rPr>
              <w:t>th</w:t>
            </w:r>
            <w:r>
              <w:rPr>
                <w:rFonts w:ascii="Arial" w:hAnsi="Arial" w:cs="Arial"/>
                <w:sz w:val="20"/>
                <w:szCs w:val="20"/>
              </w:rPr>
              <w:t xml:space="preserve"> April Review of MTFA ConOps and NOG initiated to remove any reference to the NILO in a command role.</w:t>
            </w:r>
          </w:p>
        </w:tc>
        <w:tc>
          <w:tcPr>
            <w:tcW w:w="1735" w:type="dxa"/>
          </w:tcPr>
          <w:p w14:paraId="663009BB" w14:textId="77777777" w:rsidR="00D9665F" w:rsidRPr="00791D8F" w:rsidRDefault="00D9665F" w:rsidP="00D9665F">
            <w:pPr>
              <w:spacing w:line="240" w:lineRule="auto"/>
              <w:rPr>
                <w:rFonts w:ascii="Arial" w:hAnsi="Arial" w:cs="Arial"/>
                <w:sz w:val="20"/>
                <w:szCs w:val="20"/>
              </w:rPr>
            </w:pPr>
          </w:p>
        </w:tc>
      </w:tr>
      <w:tr w:rsidR="00D9665F" w14:paraId="25368AE8" w14:textId="77777777" w:rsidTr="00791D8F">
        <w:tc>
          <w:tcPr>
            <w:tcW w:w="534" w:type="dxa"/>
          </w:tcPr>
          <w:p w14:paraId="7833BB27" w14:textId="77777777" w:rsidR="00D9665F" w:rsidRPr="00791D8F" w:rsidRDefault="00D9665F" w:rsidP="00D9665F">
            <w:pPr>
              <w:spacing w:line="240" w:lineRule="auto"/>
              <w:jc w:val="center"/>
              <w:rPr>
                <w:rFonts w:ascii="Arial" w:hAnsi="Arial" w:cs="Arial"/>
                <w:sz w:val="20"/>
                <w:szCs w:val="20"/>
              </w:rPr>
            </w:pPr>
            <w:r>
              <w:rPr>
                <w:rFonts w:ascii="Arial" w:hAnsi="Arial" w:cs="Arial"/>
                <w:sz w:val="20"/>
                <w:szCs w:val="20"/>
              </w:rPr>
              <w:t>07</w:t>
            </w:r>
          </w:p>
        </w:tc>
        <w:tc>
          <w:tcPr>
            <w:tcW w:w="4819" w:type="dxa"/>
          </w:tcPr>
          <w:p w14:paraId="739FBE4D" w14:textId="77777777" w:rsidR="00D9665F" w:rsidRPr="00791D8F" w:rsidRDefault="00D9665F" w:rsidP="00D9665F">
            <w:pPr>
              <w:autoSpaceDE w:val="0"/>
              <w:autoSpaceDN w:val="0"/>
              <w:adjustRightInd w:val="0"/>
              <w:spacing w:line="240" w:lineRule="auto"/>
              <w:jc w:val="both"/>
              <w:rPr>
                <w:rFonts w:ascii="Arial" w:hAnsi="Arial" w:cs="Arial"/>
                <w:sz w:val="20"/>
                <w:szCs w:val="20"/>
              </w:rPr>
            </w:pPr>
            <w:r w:rsidRPr="008C664A">
              <w:rPr>
                <w:rFonts w:ascii="Arial" w:hAnsi="Arial" w:cs="Arial"/>
                <w:bCs/>
                <w:spacing w:val="0"/>
                <w:sz w:val="20"/>
                <w:szCs w:val="20"/>
                <w:lang w:val="en-GB" w:eastAsia="en-GB"/>
              </w:rPr>
              <w:t xml:space="preserve">All agencies and specifically </w:t>
            </w:r>
            <w:r w:rsidRPr="008C664A">
              <w:rPr>
                <w:rFonts w:ascii="Arial" w:hAnsi="Arial" w:cs="Arial"/>
                <w:b/>
                <w:bCs/>
                <w:i/>
                <w:color w:val="FF0000"/>
                <w:spacing w:val="0"/>
                <w:sz w:val="20"/>
                <w:szCs w:val="20"/>
                <w:lang w:val="en-GB" w:eastAsia="en-GB"/>
              </w:rPr>
              <w:t>the FRS</w:t>
            </w:r>
            <w:r w:rsidRPr="008C664A">
              <w:rPr>
                <w:rFonts w:ascii="Arial" w:hAnsi="Arial" w:cs="Arial"/>
                <w:bCs/>
                <w:color w:val="FF0000"/>
                <w:spacing w:val="0"/>
                <w:sz w:val="20"/>
                <w:szCs w:val="20"/>
                <w:lang w:val="en-GB" w:eastAsia="en-GB"/>
              </w:rPr>
              <w:t xml:space="preserve"> </w:t>
            </w:r>
            <w:r w:rsidRPr="008C664A">
              <w:rPr>
                <w:rFonts w:ascii="Arial" w:hAnsi="Arial" w:cs="Arial"/>
                <w:bCs/>
                <w:spacing w:val="0"/>
                <w:sz w:val="20"/>
                <w:szCs w:val="20"/>
                <w:lang w:val="en-GB" w:eastAsia="en-GB"/>
              </w:rPr>
              <w:t>need to ensure a suitable level of competence and experience is underpinned by relevant</w:t>
            </w:r>
            <w:r>
              <w:rPr>
                <w:rFonts w:ascii="Arial" w:hAnsi="Arial" w:cs="Arial"/>
                <w:bCs/>
                <w:spacing w:val="0"/>
                <w:sz w:val="20"/>
                <w:szCs w:val="20"/>
                <w:lang w:val="en-GB" w:eastAsia="en-GB"/>
              </w:rPr>
              <w:t xml:space="preserve"> </w:t>
            </w:r>
            <w:r w:rsidRPr="008C664A">
              <w:rPr>
                <w:rFonts w:ascii="Arial" w:hAnsi="Arial" w:cs="Arial"/>
                <w:bCs/>
                <w:spacing w:val="0"/>
                <w:sz w:val="20"/>
                <w:szCs w:val="20"/>
                <w:lang w:val="en-GB" w:eastAsia="en-GB"/>
              </w:rPr>
              <w:t>training and preparation in multi-agency command, control and communication for all their relevant staff to ensure effective responses are delivered when normal or m</w:t>
            </w:r>
            <w:r>
              <w:rPr>
                <w:rFonts w:ascii="Arial" w:hAnsi="Arial" w:cs="Arial"/>
                <w:bCs/>
                <w:spacing w:val="0"/>
                <w:sz w:val="20"/>
                <w:szCs w:val="20"/>
                <w:lang w:val="en-GB" w:eastAsia="en-GB"/>
              </w:rPr>
              <w:t>ore extraordinary events happen (Ref 5.212 of report).</w:t>
            </w:r>
          </w:p>
        </w:tc>
        <w:tc>
          <w:tcPr>
            <w:tcW w:w="1734" w:type="dxa"/>
          </w:tcPr>
          <w:p w14:paraId="525488FB" w14:textId="77777777" w:rsidR="00D9665F" w:rsidRPr="00791D8F" w:rsidRDefault="00D9665F" w:rsidP="00D9665F">
            <w:pPr>
              <w:spacing w:line="240" w:lineRule="auto"/>
              <w:rPr>
                <w:rFonts w:ascii="Arial" w:hAnsi="Arial" w:cs="Arial"/>
                <w:sz w:val="20"/>
                <w:szCs w:val="20"/>
              </w:rPr>
            </w:pPr>
          </w:p>
        </w:tc>
        <w:tc>
          <w:tcPr>
            <w:tcW w:w="5354" w:type="dxa"/>
          </w:tcPr>
          <w:p w14:paraId="1017EC83" w14:textId="77777777" w:rsidR="00D9665F" w:rsidRPr="00791D8F" w:rsidRDefault="00D9665F" w:rsidP="00D9665F">
            <w:pPr>
              <w:spacing w:line="240" w:lineRule="auto"/>
              <w:rPr>
                <w:rFonts w:ascii="Arial" w:hAnsi="Arial" w:cs="Arial"/>
                <w:sz w:val="20"/>
                <w:szCs w:val="20"/>
              </w:rPr>
            </w:pPr>
          </w:p>
        </w:tc>
        <w:tc>
          <w:tcPr>
            <w:tcW w:w="1735" w:type="dxa"/>
          </w:tcPr>
          <w:p w14:paraId="00D92394" w14:textId="77777777" w:rsidR="00D9665F" w:rsidRPr="00791D8F" w:rsidRDefault="00D9665F" w:rsidP="00D9665F">
            <w:pPr>
              <w:spacing w:line="240" w:lineRule="auto"/>
              <w:rPr>
                <w:rFonts w:ascii="Arial" w:hAnsi="Arial" w:cs="Arial"/>
                <w:sz w:val="20"/>
                <w:szCs w:val="20"/>
              </w:rPr>
            </w:pPr>
          </w:p>
        </w:tc>
      </w:tr>
    </w:tbl>
    <w:p w14:paraId="387BAB38" w14:textId="77777777" w:rsidR="00DD3FCD" w:rsidRPr="00DD3FCD" w:rsidRDefault="00DD3FCD" w:rsidP="00DD3FCD">
      <w:pPr>
        <w:spacing w:line="240" w:lineRule="auto"/>
        <w:rPr>
          <w:rFonts w:ascii="Arial" w:hAnsi="Arial" w:cs="Arial"/>
          <w:sz w:val="22"/>
          <w:szCs w:val="22"/>
        </w:rPr>
      </w:pPr>
    </w:p>
    <w:p w14:paraId="7B644683" w14:textId="77777777" w:rsidR="008F542D" w:rsidRDefault="008F542D" w:rsidP="002F1C41">
      <w:pPr>
        <w:jc w:val="both"/>
        <w:rPr>
          <w:rFonts w:ascii="Arial" w:hAnsi="Arial" w:cs="Arial"/>
          <w:b/>
          <w:sz w:val="22"/>
          <w:szCs w:val="22"/>
        </w:rPr>
      </w:pPr>
    </w:p>
    <w:bookmarkEnd w:id="2"/>
    <w:p w14:paraId="50F21CE7" w14:textId="77777777" w:rsidR="00791D8F" w:rsidRDefault="00791D8F">
      <w:pPr>
        <w:spacing w:line="240" w:lineRule="auto"/>
        <w:rPr>
          <w:rFonts w:ascii="Arial" w:hAnsi="Arial" w:cs="Arial"/>
          <w:b/>
          <w:sz w:val="22"/>
          <w:szCs w:val="22"/>
          <w:u w:val="single"/>
        </w:rPr>
      </w:pPr>
      <w:r>
        <w:rPr>
          <w:rFonts w:ascii="Arial" w:hAnsi="Arial" w:cs="Arial"/>
          <w:b/>
          <w:sz w:val="22"/>
          <w:szCs w:val="22"/>
          <w:u w:val="single"/>
        </w:rPr>
        <w:br w:type="page"/>
      </w:r>
    </w:p>
    <w:tbl>
      <w:tblPr>
        <w:tblStyle w:val="TableGrid"/>
        <w:tblW w:w="0" w:type="auto"/>
        <w:tblLook w:val="04A0" w:firstRow="1" w:lastRow="0" w:firstColumn="1" w:lastColumn="0" w:noHBand="0" w:noVBand="1"/>
      </w:tblPr>
      <w:tblGrid>
        <w:gridCol w:w="533"/>
        <w:gridCol w:w="4134"/>
        <w:gridCol w:w="2328"/>
        <w:gridCol w:w="4630"/>
        <w:gridCol w:w="2325"/>
      </w:tblGrid>
      <w:tr w:rsidR="00791D8F" w14:paraId="3B28F4DE" w14:textId="77777777" w:rsidTr="00AA4C5D">
        <w:tc>
          <w:tcPr>
            <w:tcW w:w="14176" w:type="dxa"/>
            <w:gridSpan w:val="5"/>
            <w:tcBorders>
              <w:bottom w:val="single" w:sz="4" w:space="0" w:color="auto"/>
            </w:tcBorders>
            <w:shd w:val="clear" w:color="auto" w:fill="0070C0"/>
          </w:tcPr>
          <w:p w14:paraId="734BB9EF" w14:textId="77777777" w:rsidR="00791D8F" w:rsidRPr="00DD3FCD" w:rsidRDefault="00323067" w:rsidP="00323067">
            <w:pPr>
              <w:spacing w:line="240" w:lineRule="auto"/>
              <w:jc w:val="center"/>
              <w:rPr>
                <w:rFonts w:ascii="Arial" w:hAnsi="Arial" w:cs="Arial"/>
                <w:b/>
                <w:sz w:val="22"/>
                <w:szCs w:val="22"/>
              </w:rPr>
            </w:pPr>
            <w:r>
              <w:rPr>
                <w:rFonts w:ascii="Arial" w:hAnsi="Arial" w:cs="Arial"/>
                <w:b/>
                <w:color w:val="FFFFFF" w:themeColor="background1"/>
                <w:sz w:val="22"/>
                <w:szCs w:val="22"/>
              </w:rPr>
              <w:t xml:space="preserve">Multi-Agency </w:t>
            </w:r>
            <w:r w:rsidR="00791D8F" w:rsidRPr="00791D8F">
              <w:rPr>
                <w:rFonts w:ascii="Arial" w:hAnsi="Arial" w:cs="Arial"/>
                <w:b/>
                <w:color w:val="FFFFFF" w:themeColor="background1"/>
                <w:sz w:val="22"/>
                <w:szCs w:val="22"/>
              </w:rPr>
              <w:t>Recommendations</w:t>
            </w:r>
          </w:p>
        </w:tc>
      </w:tr>
      <w:tr w:rsidR="00791D8F" w14:paraId="7499F172" w14:textId="77777777" w:rsidTr="00DC66AB">
        <w:tc>
          <w:tcPr>
            <w:tcW w:w="534" w:type="dxa"/>
            <w:shd w:val="clear" w:color="auto" w:fill="D9D9D9" w:themeFill="background1" w:themeFillShade="D9"/>
          </w:tcPr>
          <w:p w14:paraId="2D46C9FB" w14:textId="77777777" w:rsidR="00791D8F" w:rsidRPr="00791D8F" w:rsidRDefault="00791D8F" w:rsidP="00DC66AB">
            <w:pPr>
              <w:spacing w:line="240" w:lineRule="auto"/>
              <w:jc w:val="center"/>
              <w:rPr>
                <w:rFonts w:ascii="Arial" w:hAnsi="Arial" w:cs="Arial"/>
                <w:b/>
                <w:sz w:val="22"/>
                <w:szCs w:val="22"/>
              </w:rPr>
            </w:pPr>
            <w:r w:rsidRPr="00791D8F">
              <w:rPr>
                <w:rFonts w:ascii="Arial" w:hAnsi="Arial" w:cs="Arial"/>
                <w:b/>
                <w:sz w:val="22"/>
                <w:szCs w:val="22"/>
              </w:rPr>
              <w:t>No</w:t>
            </w:r>
          </w:p>
        </w:tc>
        <w:tc>
          <w:tcPr>
            <w:tcW w:w="4190" w:type="dxa"/>
            <w:shd w:val="clear" w:color="auto" w:fill="D9D9D9" w:themeFill="background1" w:themeFillShade="D9"/>
          </w:tcPr>
          <w:p w14:paraId="0FBF7A27" w14:textId="77777777" w:rsidR="00791D8F" w:rsidRPr="00791D8F" w:rsidRDefault="00791D8F" w:rsidP="00DC66AB">
            <w:pPr>
              <w:spacing w:line="240" w:lineRule="auto"/>
              <w:jc w:val="center"/>
              <w:rPr>
                <w:rFonts w:ascii="Arial" w:hAnsi="Arial" w:cs="Arial"/>
                <w:b/>
                <w:sz w:val="22"/>
                <w:szCs w:val="22"/>
              </w:rPr>
            </w:pPr>
            <w:r w:rsidRPr="00791D8F">
              <w:rPr>
                <w:rFonts w:ascii="Arial" w:hAnsi="Arial" w:cs="Arial"/>
                <w:b/>
                <w:sz w:val="22"/>
                <w:szCs w:val="22"/>
              </w:rPr>
              <w:t>Kerslake Report Recommendation</w:t>
            </w:r>
          </w:p>
        </w:tc>
        <w:tc>
          <w:tcPr>
            <w:tcW w:w="2363" w:type="dxa"/>
            <w:shd w:val="clear" w:color="auto" w:fill="D9D9D9" w:themeFill="background1" w:themeFillShade="D9"/>
          </w:tcPr>
          <w:p w14:paraId="3FBDE716" w14:textId="77777777" w:rsidR="00791D8F" w:rsidRPr="00791D8F" w:rsidRDefault="00791D8F" w:rsidP="00DC66AB">
            <w:pPr>
              <w:spacing w:line="240" w:lineRule="auto"/>
              <w:jc w:val="center"/>
              <w:rPr>
                <w:rFonts w:ascii="Arial" w:hAnsi="Arial" w:cs="Arial"/>
                <w:b/>
                <w:sz w:val="22"/>
                <w:szCs w:val="22"/>
              </w:rPr>
            </w:pPr>
            <w:r w:rsidRPr="00791D8F">
              <w:rPr>
                <w:rFonts w:ascii="Arial" w:hAnsi="Arial" w:cs="Arial"/>
                <w:b/>
                <w:sz w:val="22"/>
                <w:szCs w:val="22"/>
              </w:rPr>
              <w:t>Date Opened</w:t>
            </w:r>
          </w:p>
        </w:tc>
        <w:tc>
          <w:tcPr>
            <w:tcW w:w="4726" w:type="dxa"/>
            <w:shd w:val="clear" w:color="auto" w:fill="D9D9D9" w:themeFill="background1" w:themeFillShade="D9"/>
          </w:tcPr>
          <w:p w14:paraId="73570451" w14:textId="77777777" w:rsidR="00791D8F" w:rsidRPr="00791D8F" w:rsidRDefault="00791D8F" w:rsidP="00DC66AB">
            <w:pPr>
              <w:spacing w:line="240" w:lineRule="auto"/>
              <w:jc w:val="center"/>
              <w:rPr>
                <w:rFonts w:ascii="Arial" w:hAnsi="Arial" w:cs="Arial"/>
                <w:b/>
                <w:sz w:val="22"/>
                <w:szCs w:val="22"/>
              </w:rPr>
            </w:pPr>
            <w:r w:rsidRPr="00791D8F">
              <w:rPr>
                <w:rFonts w:ascii="Arial" w:hAnsi="Arial" w:cs="Arial"/>
                <w:b/>
                <w:sz w:val="22"/>
                <w:szCs w:val="22"/>
              </w:rPr>
              <w:t>Progress update</w:t>
            </w:r>
          </w:p>
        </w:tc>
        <w:tc>
          <w:tcPr>
            <w:tcW w:w="2363" w:type="dxa"/>
            <w:shd w:val="clear" w:color="auto" w:fill="D9D9D9" w:themeFill="background1" w:themeFillShade="D9"/>
          </w:tcPr>
          <w:p w14:paraId="6C4D82A5" w14:textId="77777777" w:rsidR="00791D8F" w:rsidRPr="00791D8F" w:rsidRDefault="00791D8F" w:rsidP="00DC66AB">
            <w:pPr>
              <w:spacing w:line="240" w:lineRule="auto"/>
              <w:jc w:val="center"/>
              <w:rPr>
                <w:rFonts w:ascii="Arial" w:hAnsi="Arial" w:cs="Arial"/>
                <w:b/>
                <w:sz w:val="22"/>
                <w:szCs w:val="22"/>
              </w:rPr>
            </w:pPr>
            <w:r w:rsidRPr="00791D8F">
              <w:rPr>
                <w:rFonts w:ascii="Arial" w:hAnsi="Arial" w:cs="Arial"/>
                <w:b/>
                <w:sz w:val="22"/>
                <w:szCs w:val="22"/>
              </w:rPr>
              <w:t>Date Closed</w:t>
            </w:r>
          </w:p>
        </w:tc>
      </w:tr>
      <w:tr w:rsidR="00A332BA" w14:paraId="788F0492" w14:textId="77777777" w:rsidTr="00DC66AB">
        <w:tc>
          <w:tcPr>
            <w:tcW w:w="534" w:type="dxa"/>
          </w:tcPr>
          <w:p w14:paraId="50D085D8"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08</w:t>
            </w:r>
          </w:p>
        </w:tc>
        <w:tc>
          <w:tcPr>
            <w:tcW w:w="4190" w:type="dxa"/>
          </w:tcPr>
          <w:p w14:paraId="6AAB8ACE" w14:textId="77777777" w:rsidR="00A332BA" w:rsidRPr="00AA4C5D" w:rsidRDefault="00A332BA" w:rsidP="00DC66AB">
            <w:pPr>
              <w:spacing w:line="240" w:lineRule="auto"/>
              <w:jc w:val="both"/>
              <w:rPr>
                <w:rFonts w:ascii="Arial" w:hAnsi="Arial" w:cs="Arial"/>
                <w:sz w:val="20"/>
                <w:szCs w:val="20"/>
              </w:rPr>
            </w:pPr>
            <w:r w:rsidRPr="00AA4C5D">
              <w:rPr>
                <w:rFonts w:ascii="Arial" w:hAnsi="Arial" w:cs="Arial"/>
                <w:sz w:val="20"/>
                <w:szCs w:val="20"/>
              </w:rPr>
              <w:t>Potential Strategic Coordinating Group Chairs should pursue a clear objective to undertake a Strategic Coordinating Group update briefing (physically or virtually) within two hours of the declaration of a major incident (Ref 5.43 of report).</w:t>
            </w:r>
          </w:p>
        </w:tc>
        <w:tc>
          <w:tcPr>
            <w:tcW w:w="2363" w:type="dxa"/>
          </w:tcPr>
          <w:p w14:paraId="51F8EAC9" w14:textId="77777777" w:rsidR="00A332BA" w:rsidRPr="00AA4C5D" w:rsidRDefault="00A332BA" w:rsidP="00DC66AB">
            <w:pPr>
              <w:spacing w:line="240" w:lineRule="auto"/>
              <w:rPr>
                <w:rFonts w:ascii="Arial" w:hAnsi="Arial" w:cs="Arial"/>
                <w:sz w:val="20"/>
                <w:szCs w:val="20"/>
              </w:rPr>
            </w:pPr>
          </w:p>
        </w:tc>
        <w:tc>
          <w:tcPr>
            <w:tcW w:w="4726" w:type="dxa"/>
          </w:tcPr>
          <w:p w14:paraId="5553F4B7" w14:textId="77777777" w:rsidR="00A332BA" w:rsidRPr="00AA4C5D" w:rsidRDefault="00A332BA" w:rsidP="00DC66AB">
            <w:pPr>
              <w:spacing w:line="240" w:lineRule="auto"/>
              <w:rPr>
                <w:rFonts w:ascii="Arial" w:hAnsi="Arial" w:cs="Arial"/>
                <w:sz w:val="20"/>
                <w:szCs w:val="20"/>
              </w:rPr>
            </w:pPr>
          </w:p>
        </w:tc>
        <w:tc>
          <w:tcPr>
            <w:tcW w:w="2363" w:type="dxa"/>
          </w:tcPr>
          <w:p w14:paraId="10DFE634" w14:textId="77777777" w:rsidR="00A332BA" w:rsidRPr="00AA4C5D" w:rsidRDefault="00A332BA" w:rsidP="00DC66AB">
            <w:pPr>
              <w:spacing w:line="240" w:lineRule="auto"/>
              <w:rPr>
                <w:rFonts w:ascii="Arial" w:hAnsi="Arial" w:cs="Arial"/>
                <w:sz w:val="20"/>
                <w:szCs w:val="20"/>
              </w:rPr>
            </w:pPr>
          </w:p>
        </w:tc>
      </w:tr>
      <w:tr w:rsidR="00A332BA" w14:paraId="0D813C1A" w14:textId="77777777" w:rsidTr="00DC66AB">
        <w:tc>
          <w:tcPr>
            <w:tcW w:w="534" w:type="dxa"/>
          </w:tcPr>
          <w:p w14:paraId="21AF5146"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09</w:t>
            </w:r>
          </w:p>
        </w:tc>
        <w:tc>
          <w:tcPr>
            <w:tcW w:w="4190" w:type="dxa"/>
          </w:tcPr>
          <w:p w14:paraId="5DCDA433" w14:textId="77777777" w:rsidR="00A332BA" w:rsidRPr="00AA4C5D" w:rsidRDefault="00A332BA" w:rsidP="00DC66AB">
            <w:pPr>
              <w:autoSpaceDE w:val="0"/>
              <w:autoSpaceDN w:val="0"/>
              <w:adjustRightInd w:val="0"/>
              <w:spacing w:line="240" w:lineRule="auto"/>
              <w:jc w:val="both"/>
              <w:rPr>
                <w:rFonts w:ascii="Arial" w:hAnsi="Arial" w:cs="Arial"/>
                <w:sz w:val="20"/>
                <w:szCs w:val="20"/>
              </w:rPr>
            </w:pPr>
            <w:r w:rsidRPr="00AA4C5D">
              <w:rPr>
                <w:rFonts w:ascii="Arial" w:hAnsi="Arial" w:cs="Arial"/>
                <w:b/>
                <w:bCs/>
                <w:i/>
                <w:color w:val="FF0000"/>
                <w:spacing w:val="0"/>
                <w:sz w:val="20"/>
                <w:szCs w:val="20"/>
                <w:lang w:val="en-GB" w:eastAsia="en-GB"/>
              </w:rPr>
              <w:t>Local</w:t>
            </w:r>
            <w:r w:rsidRPr="00AA4C5D">
              <w:rPr>
                <w:rFonts w:ascii="Arial" w:hAnsi="Arial" w:cs="Arial"/>
                <w:bCs/>
                <w:spacing w:val="0"/>
                <w:sz w:val="20"/>
                <w:szCs w:val="20"/>
                <w:lang w:val="en-GB" w:eastAsia="en-GB"/>
              </w:rPr>
              <w:t xml:space="preserve"> Resilience Forum members should investigate ways to increase their own personnel’s understandings of their partner agencies’ procedures and operational priorities during the first 30 minutes to one hour of a major incident (Ref 5.73 of report).</w:t>
            </w:r>
          </w:p>
        </w:tc>
        <w:tc>
          <w:tcPr>
            <w:tcW w:w="2363" w:type="dxa"/>
          </w:tcPr>
          <w:p w14:paraId="35211417" w14:textId="77777777" w:rsidR="00A332BA" w:rsidRPr="00AA4C5D" w:rsidRDefault="00A332BA" w:rsidP="00DC66AB">
            <w:pPr>
              <w:spacing w:line="240" w:lineRule="auto"/>
              <w:rPr>
                <w:rFonts w:ascii="Arial" w:hAnsi="Arial" w:cs="Arial"/>
                <w:sz w:val="20"/>
                <w:szCs w:val="20"/>
              </w:rPr>
            </w:pPr>
          </w:p>
        </w:tc>
        <w:tc>
          <w:tcPr>
            <w:tcW w:w="4726" w:type="dxa"/>
          </w:tcPr>
          <w:p w14:paraId="510C8ED8" w14:textId="77777777" w:rsidR="00A332BA" w:rsidRPr="00AA4C5D" w:rsidRDefault="00A332BA" w:rsidP="00A332BA">
            <w:pPr>
              <w:spacing w:line="240" w:lineRule="auto"/>
              <w:rPr>
                <w:rFonts w:ascii="Arial" w:hAnsi="Arial" w:cs="Arial"/>
                <w:sz w:val="20"/>
                <w:szCs w:val="20"/>
              </w:rPr>
            </w:pPr>
          </w:p>
        </w:tc>
        <w:tc>
          <w:tcPr>
            <w:tcW w:w="2363" w:type="dxa"/>
          </w:tcPr>
          <w:p w14:paraId="69D0E229" w14:textId="77777777" w:rsidR="00A332BA" w:rsidRPr="00AA4C5D" w:rsidRDefault="00A332BA" w:rsidP="00DC66AB">
            <w:pPr>
              <w:spacing w:line="240" w:lineRule="auto"/>
              <w:rPr>
                <w:rFonts w:ascii="Arial" w:hAnsi="Arial" w:cs="Arial"/>
                <w:sz w:val="20"/>
                <w:szCs w:val="20"/>
              </w:rPr>
            </w:pPr>
          </w:p>
        </w:tc>
      </w:tr>
      <w:tr w:rsidR="00A332BA" w14:paraId="79757B81" w14:textId="77777777" w:rsidTr="00DC66AB">
        <w:tc>
          <w:tcPr>
            <w:tcW w:w="534" w:type="dxa"/>
          </w:tcPr>
          <w:p w14:paraId="31EB78EE"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10</w:t>
            </w:r>
          </w:p>
        </w:tc>
        <w:tc>
          <w:tcPr>
            <w:tcW w:w="4190" w:type="dxa"/>
          </w:tcPr>
          <w:p w14:paraId="318B00E1" w14:textId="77777777" w:rsidR="00A332BA" w:rsidRPr="00AA4C5D" w:rsidRDefault="00A332BA" w:rsidP="00770ABD">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All emergency services should consider developing a capability to give their staff rapid access to basic frameless canvas stretchers to enable rapid movement and evacuation of casualties during terrorist attacks or other high-threat or dynamic-hazard incidents (Ref 5.88 of report).</w:t>
            </w:r>
          </w:p>
        </w:tc>
        <w:tc>
          <w:tcPr>
            <w:tcW w:w="2363" w:type="dxa"/>
          </w:tcPr>
          <w:p w14:paraId="3CAD76FA" w14:textId="77777777" w:rsidR="00A332BA" w:rsidRPr="00AA4C5D" w:rsidRDefault="00A332BA" w:rsidP="00DC66AB">
            <w:pPr>
              <w:spacing w:line="240" w:lineRule="auto"/>
              <w:rPr>
                <w:rFonts w:ascii="Arial" w:hAnsi="Arial" w:cs="Arial"/>
                <w:sz w:val="20"/>
                <w:szCs w:val="20"/>
              </w:rPr>
            </w:pPr>
          </w:p>
        </w:tc>
        <w:tc>
          <w:tcPr>
            <w:tcW w:w="4726" w:type="dxa"/>
          </w:tcPr>
          <w:p w14:paraId="65BA3A59" w14:textId="77777777" w:rsidR="00A332BA" w:rsidRPr="00AA4C5D" w:rsidRDefault="00A332BA" w:rsidP="00A332BA">
            <w:pPr>
              <w:spacing w:line="240" w:lineRule="auto"/>
              <w:rPr>
                <w:rFonts w:ascii="Arial" w:hAnsi="Arial" w:cs="Arial"/>
                <w:sz w:val="20"/>
                <w:szCs w:val="20"/>
              </w:rPr>
            </w:pPr>
          </w:p>
        </w:tc>
        <w:tc>
          <w:tcPr>
            <w:tcW w:w="2363" w:type="dxa"/>
          </w:tcPr>
          <w:p w14:paraId="345D46E4" w14:textId="77777777" w:rsidR="00A332BA" w:rsidRPr="00AA4C5D" w:rsidRDefault="00A332BA" w:rsidP="00DC66AB">
            <w:pPr>
              <w:spacing w:line="240" w:lineRule="auto"/>
              <w:rPr>
                <w:rFonts w:ascii="Arial" w:hAnsi="Arial" w:cs="Arial"/>
                <w:sz w:val="20"/>
                <w:szCs w:val="20"/>
              </w:rPr>
            </w:pPr>
          </w:p>
        </w:tc>
      </w:tr>
      <w:tr w:rsidR="00A332BA" w14:paraId="07DDD42D" w14:textId="77777777" w:rsidTr="00DC66AB">
        <w:tc>
          <w:tcPr>
            <w:tcW w:w="534" w:type="dxa"/>
          </w:tcPr>
          <w:p w14:paraId="2B100C89"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11</w:t>
            </w:r>
          </w:p>
        </w:tc>
        <w:tc>
          <w:tcPr>
            <w:tcW w:w="4190" w:type="dxa"/>
          </w:tcPr>
          <w:p w14:paraId="21BDA33C" w14:textId="77777777" w:rsidR="00A332BA" w:rsidRPr="00AA4C5D" w:rsidRDefault="00A332BA" w:rsidP="00280BE6">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All planning assumptions and training in respect of preparing for and responding to terrorist attacks in public places should include realistic contingencies for public involvement in casualty care, treatment and evacuation within all incident zones (Ref 5.115 of report).</w:t>
            </w:r>
          </w:p>
        </w:tc>
        <w:tc>
          <w:tcPr>
            <w:tcW w:w="2363" w:type="dxa"/>
          </w:tcPr>
          <w:p w14:paraId="032C08DF" w14:textId="77777777" w:rsidR="00A332BA" w:rsidRPr="00AA4C5D" w:rsidRDefault="00A332BA" w:rsidP="00DC66AB">
            <w:pPr>
              <w:spacing w:line="240" w:lineRule="auto"/>
              <w:rPr>
                <w:rFonts w:ascii="Arial" w:hAnsi="Arial" w:cs="Arial"/>
                <w:sz w:val="20"/>
                <w:szCs w:val="20"/>
              </w:rPr>
            </w:pPr>
          </w:p>
        </w:tc>
        <w:tc>
          <w:tcPr>
            <w:tcW w:w="4726" w:type="dxa"/>
          </w:tcPr>
          <w:p w14:paraId="4B5CFED8" w14:textId="77777777" w:rsidR="00A332BA" w:rsidRPr="00AA4C5D" w:rsidRDefault="00A332BA" w:rsidP="00DC66AB">
            <w:pPr>
              <w:spacing w:line="240" w:lineRule="auto"/>
              <w:rPr>
                <w:rFonts w:ascii="Arial" w:hAnsi="Arial" w:cs="Arial"/>
                <w:sz w:val="20"/>
                <w:szCs w:val="20"/>
              </w:rPr>
            </w:pPr>
          </w:p>
        </w:tc>
        <w:tc>
          <w:tcPr>
            <w:tcW w:w="2363" w:type="dxa"/>
          </w:tcPr>
          <w:p w14:paraId="49A98846" w14:textId="77777777" w:rsidR="00A332BA" w:rsidRPr="00AA4C5D" w:rsidRDefault="00A332BA" w:rsidP="00DC66AB">
            <w:pPr>
              <w:spacing w:line="240" w:lineRule="auto"/>
              <w:rPr>
                <w:rFonts w:ascii="Arial" w:hAnsi="Arial" w:cs="Arial"/>
                <w:sz w:val="20"/>
                <w:szCs w:val="20"/>
              </w:rPr>
            </w:pPr>
          </w:p>
        </w:tc>
      </w:tr>
      <w:tr w:rsidR="00A332BA" w14:paraId="6E08FA6D" w14:textId="77777777" w:rsidTr="00DC66AB">
        <w:tc>
          <w:tcPr>
            <w:tcW w:w="534" w:type="dxa"/>
          </w:tcPr>
          <w:p w14:paraId="642187A8"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12</w:t>
            </w:r>
          </w:p>
        </w:tc>
        <w:tc>
          <w:tcPr>
            <w:tcW w:w="4190" w:type="dxa"/>
          </w:tcPr>
          <w:p w14:paraId="755E128B" w14:textId="77777777" w:rsidR="00A332BA" w:rsidRPr="00AA4C5D" w:rsidRDefault="00A332BA" w:rsidP="00A332BA">
            <w:pPr>
              <w:autoSpaceDE w:val="0"/>
              <w:autoSpaceDN w:val="0"/>
              <w:adjustRightInd w:val="0"/>
              <w:spacing w:line="240" w:lineRule="auto"/>
              <w:jc w:val="both"/>
              <w:rPr>
                <w:rFonts w:ascii="Arial" w:hAnsi="Arial" w:cs="Arial"/>
                <w:bCs/>
                <w:spacing w:val="0"/>
                <w:sz w:val="20"/>
                <w:szCs w:val="20"/>
                <w:lang w:val="en-GB" w:eastAsia="en-GB"/>
              </w:rPr>
            </w:pPr>
            <w:r w:rsidRPr="00AA4C5D">
              <w:rPr>
                <w:rFonts w:ascii="Arial" w:hAnsi="Arial" w:cs="Arial"/>
                <w:b/>
                <w:bCs/>
                <w:i/>
                <w:color w:val="FF0000"/>
                <w:spacing w:val="0"/>
                <w:sz w:val="20"/>
                <w:szCs w:val="20"/>
                <w:lang w:val="en-GB" w:eastAsia="en-GB"/>
              </w:rPr>
              <w:t>Local</w:t>
            </w:r>
            <w:r w:rsidRPr="00AA4C5D">
              <w:rPr>
                <w:rFonts w:ascii="Arial" w:hAnsi="Arial" w:cs="Arial"/>
                <w:b/>
                <w:bCs/>
                <w:spacing w:val="0"/>
                <w:sz w:val="20"/>
                <w:szCs w:val="20"/>
                <w:lang w:val="en-GB" w:eastAsia="en-GB"/>
              </w:rPr>
              <w:t xml:space="preserve"> </w:t>
            </w:r>
            <w:r w:rsidRPr="00AA4C5D">
              <w:rPr>
                <w:rFonts w:ascii="Arial" w:hAnsi="Arial" w:cs="Arial"/>
                <w:bCs/>
                <w:spacing w:val="0"/>
                <w:sz w:val="20"/>
                <w:szCs w:val="20"/>
                <w:lang w:val="en-GB" w:eastAsia="en-GB"/>
              </w:rPr>
              <w:t>Resilience Forum members should clarify their joint operating procedures in relation to the declaration of multi-agency</w:t>
            </w:r>
          </w:p>
          <w:p w14:paraId="34FA4885" w14:textId="77777777" w:rsidR="00A332BA" w:rsidRPr="00AA4C5D" w:rsidRDefault="00A332BA" w:rsidP="00A332B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forward control points, rendezvous points and marshalling arrangements during terrorist incidents and suspected terrorist incidents (Ref 5.172 of report).</w:t>
            </w:r>
          </w:p>
        </w:tc>
        <w:tc>
          <w:tcPr>
            <w:tcW w:w="2363" w:type="dxa"/>
          </w:tcPr>
          <w:p w14:paraId="00BCF10F" w14:textId="77777777" w:rsidR="00A332BA" w:rsidRPr="00AA4C5D" w:rsidRDefault="00A332BA" w:rsidP="00DC66AB">
            <w:pPr>
              <w:spacing w:line="240" w:lineRule="auto"/>
              <w:rPr>
                <w:rFonts w:ascii="Arial" w:hAnsi="Arial" w:cs="Arial"/>
                <w:sz w:val="20"/>
                <w:szCs w:val="20"/>
              </w:rPr>
            </w:pPr>
          </w:p>
        </w:tc>
        <w:tc>
          <w:tcPr>
            <w:tcW w:w="4726" w:type="dxa"/>
          </w:tcPr>
          <w:p w14:paraId="6B787EA6" w14:textId="77777777" w:rsidR="00A332BA" w:rsidRPr="00AA4C5D" w:rsidRDefault="00A332BA" w:rsidP="00DC66AB">
            <w:pPr>
              <w:spacing w:line="240" w:lineRule="auto"/>
              <w:rPr>
                <w:rFonts w:ascii="Arial" w:hAnsi="Arial" w:cs="Arial"/>
                <w:sz w:val="20"/>
                <w:szCs w:val="20"/>
              </w:rPr>
            </w:pPr>
          </w:p>
        </w:tc>
        <w:tc>
          <w:tcPr>
            <w:tcW w:w="2363" w:type="dxa"/>
          </w:tcPr>
          <w:p w14:paraId="089F9AF9" w14:textId="77777777" w:rsidR="00A332BA" w:rsidRPr="00AA4C5D" w:rsidRDefault="00A332BA" w:rsidP="00DC66AB">
            <w:pPr>
              <w:spacing w:line="240" w:lineRule="auto"/>
              <w:rPr>
                <w:rFonts w:ascii="Arial" w:hAnsi="Arial" w:cs="Arial"/>
                <w:sz w:val="20"/>
                <w:szCs w:val="20"/>
              </w:rPr>
            </w:pPr>
          </w:p>
        </w:tc>
      </w:tr>
      <w:tr w:rsidR="00A332BA" w14:paraId="51CEF497" w14:textId="77777777" w:rsidTr="00DC66AB">
        <w:tc>
          <w:tcPr>
            <w:tcW w:w="534" w:type="dxa"/>
          </w:tcPr>
          <w:p w14:paraId="697C1BBC"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13</w:t>
            </w:r>
          </w:p>
        </w:tc>
        <w:tc>
          <w:tcPr>
            <w:tcW w:w="4190" w:type="dxa"/>
          </w:tcPr>
          <w:p w14:paraId="5940EA1D" w14:textId="77777777" w:rsidR="00A332BA" w:rsidRPr="00AA4C5D" w:rsidRDefault="00A332BA" w:rsidP="00A332B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All Local Resilience Fora should review their planning assumptions and expectations in relation to multi-agency communications during major incidents. Emphasis should be placed on identifying potential single points of failure in communication networks (i.e. technological and command) and building in resilience and/or alternative contingencies to avoid such failures (Ref 5.212 of report).</w:t>
            </w:r>
          </w:p>
        </w:tc>
        <w:tc>
          <w:tcPr>
            <w:tcW w:w="2363" w:type="dxa"/>
          </w:tcPr>
          <w:p w14:paraId="2A624D2D" w14:textId="77777777" w:rsidR="00A332BA" w:rsidRPr="00AA4C5D" w:rsidRDefault="00A332BA" w:rsidP="00DC66AB">
            <w:pPr>
              <w:spacing w:line="240" w:lineRule="auto"/>
              <w:rPr>
                <w:rFonts w:ascii="Arial" w:hAnsi="Arial" w:cs="Arial"/>
                <w:sz w:val="20"/>
                <w:szCs w:val="20"/>
              </w:rPr>
            </w:pPr>
          </w:p>
        </w:tc>
        <w:tc>
          <w:tcPr>
            <w:tcW w:w="4726" w:type="dxa"/>
          </w:tcPr>
          <w:p w14:paraId="18378DBE" w14:textId="77777777" w:rsidR="00A332BA" w:rsidRPr="00AA4C5D" w:rsidRDefault="00A332BA" w:rsidP="00DC66AB">
            <w:pPr>
              <w:spacing w:line="240" w:lineRule="auto"/>
              <w:rPr>
                <w:rFonts w:ascii="Arial" w:hAnsi="Arial" w:cs="Arial"/>
                <w:sz w:val="20"/>
                <w:szCs w:val="20"/>
              </w:rPr>
            </w:pPr>
          </w:p>
        </w:tc>
        <w:tc>
          <w:tcPr>
            <w:tcW w:w="2363" w:type="dxa"/>
          </w:tcPr>
          <w:p w14:paraId="2645760F" w14:textId="77777777" w:rsidR="00A332BA" w:rsidRPr="00AA4C5D" w:rsidRDefault="00A332BA" w:rsidP="00DC66AB">
            <w:pPr>
              <w:spacing w:line="240" w:lineRule="auto"/>
              <w:rPr>
                <w:rFonts w:ascii="Arial" w:hAnsi="Arial" w:cs="Arial"/>
                <w:sz w:val="20"/>
                <w:szCs w:val="20"/>
              </w:rPr>
            </w:pPr>
          </w:p>
        </w:tc>
      </w:tr>
      <w:tr w:rsidR="00A332BA" w14:paraId="4D4C6522" w14:textId="77777777" w:rsidTr="00DC66AB">
        <w:tc>
          <w:tcPr>
            <w:tcW w:w="534" w:type="dxa"/>
          </w:tcPr>
          <w:p w14:paraId="0B8A2837"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14</w:t>
            </w:r>
          </w:p>
        </w:tc>
        <w:tc>
          <w:tcPr>
            <w:tcW w:w="4190" w:type="dxa"/>
          </w:tcPr>
          <w:p w14:paraId="4E3573E9" w14:textId="77777777" w:rsidR="00A332BA" w:rsidRPr="00AA4C5D" w:rsidRDefault="00A332BA" w:rsidP="00A332BA">
            <w:pPr>
              <w:autoSpaceDE w:val="0"/>
              <w:autoSpaceDN w:val="0"/>
              <w:adjustRightInd w:val="0"/>
              <w:spacing w:line="240" w:lineRule="auto"/>
              <w:rPr>
                <w:rFonts w:ascii="Arial" w:hAnsi="Arial" w:cs="Arial"/>
                <w:bCs/>
                <w:spacing w:val="0"/>
                <w:sz w:val="20"/>
                <w:szCs w:val="20"/>
                <w:lang w:val="en-GB" w:eastAsia="en-GB"/>
              </w:rPr>
            </w:pPr>
            <w:r w:rsidRPr="00AA4C5D">
              <w:rPr>
                <w:rFonts w:ascii="Arial" w:hAnsi="Arial" w:cs="Arial"/>
                <w:b/>
                <w:bCs/>
                <w:i/>
                <w:color w:val="FF0000"/>
                <w:spacing w:val="0"/>
                <w:sz w:val="20"/>
                <w:szCs w:val="20"/>
                <w:lang w:val="en-GB" w:eastAsia="en-GB"/>
              </w:rPr>
              <w:t>Local</w:t>
            </w:r>
            <w:r w:rsidRPr="00AA4C5D">
              <w:rPr>
                <w:rFonts w:ascii="Arial" w:hAnsi="Arial" w:cs="Arial"/>
                <w:bCs/>
                <w:spacing w:val="0"/>
                <w:sz w:val="20"/>
                <w:szCs w:val="20"/>
                <w:lang w:val="en-GB" w:eastAsia="en-GB"/>
              </w:rPr>
              <w:t xml:space="preserve"> Resilience Forum members should</w:t>
            </w:r>
          </w:p>
          <w:p w14:paraId="73AC98BE" w14:textId="77777777" w:rsidR="00A332BA" w:rsidRPr="00AA4C5D" w:rsidRDefault="00A332BA" w:rsidP="00A332B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develop contingencies to enable METHANE messages to be shared directly between partner agencies’ control rooms immediately upon receipt of a message from the incident scene (Ref 5.212 of report).</w:t>
            </w:r>
          </w:p>
        </w:tc>
        <w:tc>
          <w:tcPr>
            <w:tcW w:w="2363" w:type="dxa"/>
          </w:tcPr>
          <w:p w14:paraId="3F6CAED4" w14:textId="77777777" w:rsidR="00A332BA" w:rsidRPr="00AA4C5D" w:rsidRDefault="00A332BA" w:rsidP="00DC66AB">
            <w:pPr>
              <w:spacing w:line="240" w:lineRule="auto"/>
              <w:rPr>
                <w:rFonts w:ascii="Arial" w:hAnsi="Arial" w:cs="Arial"/>
                <w:sz w:val="20"/>
                <w:szCs w:val="20"/>
              </w:rPr>
            </w:pPr>
          </w:p>
        </w:tc>
        <w:tc>
          <w:tcPr>
            <w:tcW w:w="4726" w:type="dxa"/>
          </w:tcPr>
          <w:p w14:paraId="477BD3F5" w14:textId="77777777" w:rsidR="00A332BA" w:rsidRPr="00AA4C5D" w:rsidRDefault="00A332BA" w:rsidP="00DC66AB">
            <w:pPr>
              <w:spacing w:line="240" w:lineRule="auto"/>
              <w:rPr>
                <w:rFonts w:ascii="Arial" w:hAnsi="Arial" w:cs="Arial"/>
                <w:sz w:val="20"/>
                <w:szCs w:val="20"/>
              </w:rPr>
            </w:pPr>
          </w:p>
        </w:tc>
        <w:tc>
          <w:tcPr>
            <w:tcW w:w="2363" w:type="dxa"/>
          </w:tcPr>
          <w:p w14:paraId="747F28C8" w14:textId="77777777" w:rsidR="00A332BA" w:rsidRPr="00AA4C5D" w:rsidRDefault="00A332BA" w:rsidP="00DC66AB">
            <w:pPr>
              <w:spacing w:line="240" w:lineRule="auto"/>
              <w:rPr>
                <w:rFonts w:ascii="Arial" w:hAnsi="Arial" w:cs="Arial"/>
                <w:sz w:val="20"/>
                <w:szCs w:val="20"/>
              </w:rPr>
            </w:pPr>
          </w:p>
        </w:tc>
      </w:tr>
      <w:tr w:rsidR="00A332BA" w14:paraId="07B2E77E" w14:textId="77777777" w:rsidTr="00DC66AB">
        <w:tc>
          <w:tcPr>
            <w:tcW w:w="534" w:type="dxa"/>
          </w:tcPr>
          <w:p w14:paraId="06D0B986"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15</w:t>
            </w:r>
          </w:p>
        </w:tc>
        <w:tc>
          <w:tcPr>
            <w:tcW w:w="4190" w:type="dxa"/>
          </w:tcPr>
          <w:p w14:paraId="1069F9F0" w14:textId="77777777" w:rsidR="00A332BA" w:rsidRPr="00AA4C5D" w:rsidRDefault="00A332BA" w:rsidP="00A332BA">
            <w:pPr>
              <w:autoSpaceDE w:val="0"/>
              <w:autoSpaceDN w:val="0"/>
              <w:adjustRightInd w:val="0"/>
              <w:spacing w:line="240" w:lineRule="auto"/>
              <w:jc w:val="both"/>
              <w:rPr>
                <w:rFonts w:ascii="Arial" w:hAnsi="Arial" w:cs="Arial"/>
                <w:sz w:val="20"/>
                <w:szCs w:val="20"/>
              </w:rPr>
            </w:pPr>
            <w:r w:rsidRPr="00AA4C5D">
              <w:rPr>
                <w:rFonts w:ascii="Arial" w:hAnsi="Arial" w:cs="Arial"/>
                <w:b/>
                <w:bCs/>
                <w:i/>
                <w:color w:val="FF0000"/>
                <w:spacing w:val="0"/>
                <w:sz w:val="20"/>
                <w:szCs w:val="20"/>
                <w:lang w:val="en-GB" w:eastAsia="en-GB"/>
              </w:rPr>
              <w:t>Local</w:t>
            </w:r>
            <w:r w:rsidRPr="00AA4C5D">
              <w:rPr>
                <w:rFonts w:ascii="Arial" w:hAnsi="Arial" w:cs="Arial"/>
                <w:bCs/>
                <w:spacing w:val="0"/>
                <w:sz w:val="20"/>
                <w:szCs w:val="20"/>
                <w:lang w:val="en-GB" w:eastAsia="en-GB"/>
              </w:rPr>
              <w:t xml:space="preserve"> Resilience Forum members should adopt the common understanding of specific terms and phrases which impact on multi-agency working that is defined within the Lexicon of UK Civil Protection Terminology (e.g. rendezvous point, forward command point, holding area) (ref 5.212 of report).</w:t>
            </w:r>
          </w:p>
        </w:tc>
        <w:tc>
          <w:tcPr>
            <w:tcW w:w="2363" w:type="dxa"/>
          </w:tcPr>
          <w:p w14:paraId="4CA61EC3" w14:textId="77777777" w:rsidR="00A332BA" w:rsidRPr="00AA4C5D" w:rsidRDefault="00A332BA" w:rsidP="00DC66AB">
            <w:pPr>
              <w:spacing w:line="240" w:lineRule="auto"/>
              <w:rPr>
                <w:rFonts w:ascii="Arial" w:hAnsi="Arial" w:cs="Arial"/>
                <w:sz w:val="20"/>
                <w:szCs w:val="20"/>
              </w:rPr>
            </w:pPr>
          </w:p>
        </w:tc>
        <w:tc>
          <w:tcPr>
            <w:tcW w:w="4726" w:type="dxa"/>
          </w:tcPr>
          <w:p w14:paraId="1BF70FFC" w14:textId="77777777" w:rsidR="00A332BA" w:rsidRPr="00AA4C5D" w:rsidRDefault="00A332BA" w:rsidP="00DC66AB">
            <w:pPr>
              <w:spacing w:line="240" w:lineRule="auto"/>
              <w:rPr>
                <w:rFonts w:ascii="Arial" w:hAnsi="Arial" w:cs="Arial"/>
                <w:sz w:val="20"/>
                <w:szCs w:val="20"/>
              </w:rPr>
            </w:pPr>
          </w:p>
        </w:tc>
        <w:tc>
          <w:tcPr>
            <w:tcW w:w="2363" w:type="dxa"/>
          </w:tcPr>
          <w:p w14:paraId="702CF4A9" w14:textId="77777777" w:rsidR="00A332BA" w:rsidRPr="00AA4C5D" w:rsidRDefault="00A332BA" w:rsidP="00DC66AB">
            <w:pPr>
              <w:spacing w:line="240" w:lineRule="auto"/>
              <w:rPr>
                <w:rFonts w:ascii="Arial" w:hAnsi="Arial" w:cs="Arial"/>
                <w:sz w:val="20"/>
                <w:szCs w:val="20"/>
              </w:rPr>
            </w:pPr>
          </w:p>
        </w:tc>
      </w:tr>
      <w:tr w:rsidR="00A332BA" w14:paraId="0C21C576" w14:textId="77777777" w:rsidTr="00DC66AB">
        <w:tc>
          <w:tcPr>
            <w:tcW w:w="534" w:type="dxa"/>
          </w:tcPr>
          <w:p w14:paraId="7567760E"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16</w:t>
            </w:r>
          </w:p>
        </w:tc>
        <w:tc>
          <w:tcPr>
            <w:tcW w:w="4190" w:type="dxa"/>
          </w:tcPr>
          <w:p w14:paraId="1D28FA83" w14:textId="77777777" w:rsidR="00A332BA" w:rsidRPr="00AA4C5D" w:rsidRDefault="008C664A" w:rsidP="008C664A">
            <w:pPr>
              <w:autoSpaceDE w:val="0"/>
              <w:autoSpaceDN w:val="0"/>
              <w:adjustRightInd w:val="0"/>
              <w:spacing w:line="240" w:lineRule="auto"/>
              <w:jc w:val="both"/>
              <w:rPr>
                <w:rFonts w:ascii="Arial" w:hAnsi="Arial" w:cs="Arial"/>
                <w:sz w:val="20"/>
                <w:szCs w:val="20"/>
              </w:rPr>
            </w:pPr>
            <w:r w:rsidRPr="00AA4C5D">
              <w:rPr>
                <w:rFonts w:ascii="Arial" w:hAnsi="Arial" w:cs="Arial"/>
                <w:b/>
                <w:bCs/>
                <w:i/>
                <w:color w:val="FF0000"/>
                <w:spacing w:val="0"/>
                <w:sz w:val="20"/>
                <w:szCs w:val="20"/>
                <w:lang w:val="en-GB" w:eastAsia="en-GB"/>
              </w:rPr>
              <w:t>Local</w:t>
            </w:r>
            <w:r w:rsidRPr="00AA4C5D">
              <w:rPr>
                <w:rFonts w:ascii="Arial" w:hAnsi="Arial" w:cs="Arial"/>
                <w:bCs/>
                <w:spacing w:val="0"/>
                <w:sz w:val="20"/>
                <w:szCs w:val="20"/>
                <w:lang w:val="en-GB" w:eastAsia="en-GB"/>
              </w:rPr>
              <w:t xml:space="preserve"> Resilience Forum members should conduct a review of their planning assumptions in relation to multi-agency working, up to and including scenarios for all plausible worst-case major incidents (Ref 5.212 of report.</w:t>
            </w:r>
          </w:p>
        </w:tc>
        <w:tc>
          <w:tcPr>
            <w:tcW w:w="2363" w:type="dxa"/>
          </w:tcPr>
          <w:p w14:paraId="481F3E25" w14:textId="77777777" w:rsidR="00A332BA" w:rsidRPr="00AA4C5D" w:rsidRDefault="00A332BA" w:rsidP="00DC66AB">
            <w:pPr>
              <w:spacing w:line="240" w:lineRule="auto"/>
              <w:rPr>
                <w:rFonts w:ascii="Arial" w:hAnsi="Arial" w:cs="Arial"/>
                <w:sz w:val="20"/>
                <w:szCs w:val="20"/>
              </w:rPr>
            </w:pPr>
          </w:p>
        </w:tc>
        <w:tc>
          <w:tcPr>
            <w:tcW w:w="4726" w:type="dxa"/>
          </w:tcPr>
          <w:p w14:paraId="719FE103" w14:textId="77777777" w:rsidR="00A332BA" w:rsidRPr="00AA4C5D" w:rsidRDefault="00A332BA" w:rsidP="00DC66AB">
            <w:pPr>
              <w:spacing w:line="240" w:lineRule="auto"/>
              <w:rPr>
                <w:rFonts w:ascii="Arial" w:hAnsi="Arial" w:cs="Arial"/>
                <w:sz w:val="20"/>
                <w:szCs w:val="20"/>
              </w:rPr>
            </w:pPr>
          </w:p>
        </w:tc>
        <w:tc>
          <w:tcPr>
            <w:tcW w:w="2363" w:type="dxa"/>
          </w:tcPr>
          <w:p w14:paraId="1D882C8C" w14:textId="77777777" w:rsidR="00A332BA" w:rsidRPr="00AA4C5D" w:rsidRDefault="00A332BA" w:rsidP="00DC66AB">
            <w:pPr>
              <w:spacing w:line="240" w:lineRule="auto"/>
              <w:rPr>
                <w:rFonts w:ascii="Arial" w:hAnsi="Arial" w:cs="Arial"/>
                <w:sz w:val="20"/>
                <w:szCs w:val="20"/>
              </w:rPr>
            </w:pPr>
          </w:p>
        </w:tc>
      </w:tr>
      <w:tr w:rsidR="00A332BA" w14:paraId="478B2281" w14:textId="77777777" w:rsidTr="00DC66AB">
        <w:tc>
          <w:tcPr>
            <w:tcW w:w="534" w:type="dxa"/>
          </w:tcPr>
          <w:p w14:paraId="06A1081A" w14:textId="77777777" w:rsidR="00A332B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17</w:t>
            </w:r>
          </w:p>
        </w:tc>
        <w:tc>
          <w:tcPr>
            <w:tcW w:w="4190" w:type="dxa"/>
          </w:tcPr>
          <w:p w14:paraId="6AC084D1" w14:textId="77777777" w:rsidR="00A332BA" w:rsidRPr="00AA4C5D" w:rsidRDefault="008C664A" w:rsidP="008C664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The response to the Arena attack provided an extraordinary validation of the on-going work within the UK civil protection sector to embed the JESIP Interoperability Framework into practice. Where responders were able rapidly to co-locate, communicate and coordinate their activities, situational awareness was usefully shared, risks were jointly assessed, and pragmatic solutions were developed to mitigate severe, time critical, challenges. Where unforeseen limitations in guidance, protocol and circumstance collided to block such close collaboration, the response of the organisation affected was paralysed for a crucial period. Accordingly, it is the Panel’s belief that the findings of the Review should provide a critical stimulus for responders nationally to reassess all plans and protocols that include assumptions of interoperability during major incidents, for the response to the Arena attack provides undeniable evidence that such assumptions need to be vigorously tested (Ref 5.212 of report).</w:t>
            </w:r>
          </w:p>
        </w:tc>
        <w:tc>
          <w:tcPr>
            <w:tcW w:w="2363" w:type="dxa"/>
          </w:tcPr>
          <w:p w14:paraId="76B428AE" w14:textId="77777777" w:rsidR="00A332BA" w:rsidRPr="00AA4C5D" w:rsidRDefault="00A332BA" w:rsidP="00DC66AB">
            <w:pPr>
              <w:spacing w:line="240" w:lineRule="auto"/>
              <w:rPr>
                <w:rFonts w:ascii="Arial" w:hAnsi="Arial" w:cs="Arial"/>
                <w:sz w:val="20"/>
                <w:szCs w:val="20"/>
              </w:rPr>
            </w:pPr>
          </w:p>
        </w:tc>
        <w:tc>
          <w:tcPr>
            <w:tcW w:w="4726" w:type="dxa"/>
          </w:tcPr>
          <w:p w14:paraId="7889847B" w14:textId="77777777" w:rsidR="00A332BA" w:rsidRPr="00AA4C5D" w:rsidRDefault="00A332BA" w:rsidP="00DC66AB">
            <w:pPr>
              <w:spacing w:line="240" w:lineRule="auto"/>
              <w:rPr>
                <w:rFonts w:ascii="Arial" w:hAnsi="Arial" w:cs="Arial"/>
                <w:sz w:val="20"/>
                <w:szCs w:val="20"/>
              </w:rPr>
            </w:pPr>
          </w:p>
        </w:tc>
        <w:tc>
          <w:tcPr>
            <w:tcW w:w="2363" w:type="dxa"/>
          </w:tcPr>
          <w:p w14:paraId="4EAC6AD4" w14:textId="77777777" w:rsidR="00A332BA" w:rsidRPr="00AA4C5D" w:rsidRDefault="00A332BA" w:rsidP="00DC66AB">
            <w:pPr>
              <w:spacing w:line="240" w:lineRule="auto"/>
              <w:rPr>
                <w:rFonts w:ascii="Arial" w:hAnsi="Arial" w:cs="Arial"/>
                <w:sz w:val="20"/>
                <w:szCs w:val="20"/>
              </w:rPr>
            </w:pPr>
          </w:p>
        </w:tc>
      </w:tr>
      <w:tr w:rsidR="008C664A" w14:paraId="393784D0" w14:textId="77777777" w:rsidTr="00DC66AB">
        <w:tc>
          <w:tcPr>
            <w:tcW w:w="534" w:type="dxa"/>
          </w:tcPr>
          <w:p w14:paraId="3FB78063" w14:textId="77777777" w:rsidR="008C664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18</w:t>
            </w:r>
          </w:p>
        </w:tc>
        <w:tc>
          <w:tcPr>
            <w:tcW w:w="4190" w:type="dxa"/>
          </w:tcPr>
          <w:p w14:paraId="7DC5216A" w14:textId="77777777" w:rsidR="008C664A" w:rsidRPr="00AA4C5D" w:rsidRDefault="008C664A" w:rsidP="008C664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Operation PLATO should be reviewed and modified as deemed necessary to inform the response to any form of terrorist attack and be referred to as the Joint Operating Principles for Responding to a Terrorist Attack, regardless of whether firearms are thought to be involved (Ref 5.231 of report).</w:t>
            </w:r>
          </w:p>
        </w:tc>
        <w:tc>
          <w:tcPr>
            <w:tcW w:w="2363" w:type="dxa"/>
          </w:tcPr>
          <w:p w14:paraId="0E9FDC57" w14:textId="77777777" w:rsidR="008C664A" w:rsidRPr="00AA4C5D" w:rsidRDefault="008C664A" w:rsidP="00DC66AB">
            <w:pPr>
              <w:spacing w:line="240" w:lineRule="auto"/>
              <w:rPr>
                <w:rFonts w:ascii="Arial" w:hAnsi="Arial" w:cs="Arial"/>
                <w:sz w:val="20"/>
                <w:szCs w:val="20"/>
              </w:rPr>
            </w:pPr>
          </w:p>
        </w:tc>
        <w:tc>
          <w:tcPr>
            <w:tcW w:w="4726" w:type="dxa"/>
          </w:tcPr>
          <w:p w14:paraId="25D4C0C3" w14:textId="77777777" w:rsidR="008C664A" w:rsidRPr="00AA4C5D" w:rsidRDefault="008C664A" w:rsidP="00DC66AB">
            <w:pPr>
              <w:spacing w:line="240" w:lineRule="auto"/>
              <w:rPr>
                <w:rFonts w:ascii="Arial" w:hAnsi="Arial" w:cs="Arial"/>
                <w:sz w:val="20"/>
                <w:szCs w:val="20"/>
              </w:rPr>
            </w:pPr>
          </w:p>
        </w:tc>
        <w:tc>
          <w:tcPr>
            <w:tcW w:w="2363" w:type="dxa"/>
          </w:tcPr>
          <w:p w14:paraId="6DF3B36E" w14:textId="77777777" w:rsidR="008C664A" w:rsidRPr="00AA4C5D" w:rsidRDefault="008C664A" w:rsidP="00DC66AB">
            <w:pPr>
              <w:spacing w:line="240" w:lineRule="auto"/>
              <w:rPr>
                <w:rFonts w:ascii="Arial" w:hAnsi="Arial" w:cs="Arial"/>
                <w:sz w:val="20"/>
                <w:szCs w:val="20"/>
              </w:rPr>
            </w:pPr>
          </w:p>
        </w:tc>
      </w:tr>
      <w:tr w:rsidR="008C664A" w14:paraId="55D1BDA7" w14:textId="77777777" w:rsidTr="00DC66AB">
        <w:tc>
          <w:tcPr>
            <w:tcW w:w="534" w:type="dxa"/>
          </w:tcPr>
          <w:p w14:paraId="21EEF129" w14:textId="77777777" w:rsidR="008C664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19</w:t>
            </w:r>
          </w:p>
        </w:tc>
        <w:tc>
          <w:tcPr>
            <w:tcW w:w="4190" w:type="dxa"/>
          </w:tcPr>
          <w:p w14:paraId="66A68450" w14:textId="77777777" w:rsidR="008C664A" w:rsidRPr="00AA4C5D" w:rsidRDefault="008C664A" w:rsidP="008C664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A national review of the possibility of accrediting charities to deliver effective services in the response to an emergency should be undertaken, avoiding the accreditation process becoming too burdensome for the charities concerned but including a requirement to plan with Local Resilience Fora ahead of emergencies (Ref 5.243 of report).</w:t>
            </w:r>
          </w:p>
        </w:tc>
        <w:tc>
          <w:tcPr>
            <w:tcW w:w="2363" w:type="dxa"/>
          </w:tcPr>
          <w:p w14:paraId="1D2EE9C6" w14:textId="77777777" w:rsidR="008C664A" w:rsidRPr="00AA4C5D" w:rsidRDefault="008C664A" w:rsidP="00DC66AB">
            <w:pPr>
              <w:spacing w:line="240" w:lineRule="auto"/>
              <w:rPr>
                <w:rFonts w:ascii="Arial" w:hAnsi="Arial" w:cs="Arial"/>
                <w:sz w:val="20"/>
                <w:szCs w:val="20"/>
              </w:rPr>
            </w:pPr>
          </w:p>
        </w:tc>
        <w:tc>
          <w:tcPr>
            <w:tcW w:w="4726" w:type="dxa"/>
          </w:tcPr>
          <w:p w14:paraId="2BCB1C4F" w14:textId="77777777" w:rsidR="008C664A" w:rsidRPr="00AA4C5D" w:rsidRDefault="008C664A" w:rsidP="00DC66AB">
            <w:pPr>
              <w:spacing w:line="240" w:lineRule="auto"/>
              <w:rPr>
                <w:rFonts w:ascii="Arial" w:hAnsi="Arial" w:cs="Arial"/>
                <w:sz w:val="20"/>
                <w:szCs w:val="20"/>
              </w:rPr>
            </w:pPr>
          </w:p>
        </w:tc>
        <w:tc>
          <w:tcPr>
            <w:tcW w:w="2363" w:type="dxa"/>
          </w:tcPr>
          <w:p w14:paraId="2A09D233" w14:textId="77777777" w:rsidR="008C664A" w:rsidRPr="00AA4C5D" w:rsidRDefault="008C664A" w:rsidP="00DC66AB">
            <w:pPr>
              <w:spacing w:line="240" w:lineRule="auto"/>
              <w:rPr>
                <w:rFonts w:ascii="Arial" w:hAnsi="Arial" w:cs="Arial"/>
                <w:sz w:val="20"/>
                <w:szCs w:val="20"/>
              </w:rPr>
            </w:pPr>
          </w:p>
        </w:tc>
      </w:tr>
      <w:tr w:rsidR="008C664A" w14:paraId="405AA36A" w14:textId="77777777" w:rsidTr="00DC66AB">
        <w:tc>
          <w:tcPr>
            <w:tcW w:w="534" w:type="dxa"/>
          </w:tcPr>
          <w:p w14:paraId="6A658250" w14:textId="77777777" w:rsidR="008C664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20</w:t>
            </w:r>
          </w:p>
        </w:tc>
        <w:tc>
          <w:tcPr>
            <w:tcW w:w="4190" w:type="dxa"/>
          </w:tcPr>
          <w:p w14:paraId="53451E50" w14:textId="77777777" w:rsidR="008C664A" w:rsidRPr="00AA4C5D" w:rsidRDefault="008C664A" w:rsidP="008C664A">
            <w:pPr>
              <w:autoSpaceDE w:val="0"/>
              <w:autoSpaceDN w:val="0"/>
              <w:adjustRightInd w:val="0"/>
              <w:spacing w:line="240" w:lineRule="auto"/>
              <w:jc w:val="both"/>
              <w:rPr>
                <w:rFonts w:ascii="Arial" w:hAnsi="Arial" w:cs="Arial"/>
                <w:sz w:val="20"/>
                <w:szCs w:val="20"/>
              </w:rPr>
            </w:pPr>
            <w:r w:rsidRPr="00AA4C5D">
              <w:rPr>
                <w:rFonts w:ascii="Arial" w:hAnsi="Arial" w:cs="Arial"/>
                <w:bCs/>
                <w:spacing w:val="0"/>
                <w:sz w:val="20"/>
                <w:szCs w:val="20"/>
                <w:lang w:val="en-GB" w:eastAsia="en-GB"/>
              </w:rPr>
              <w:t>Emergency plans for major incidents should incorporate comprehensive contingencies for the provision of mental health support to adults, children and young people, families and responders (Ref 5.254 of report).</w:t>
            </w:r>
          </w:p>
        </w:tc>
        <w:tc>
          <w:tcPr>
            <w:tcW w:w="2363" w:type="dxa"/>
          </w:tcPr>
          <w:p w14:paraId="1DA8C871" w14:textId="77777777" w:rsidR="008C664A" w:rsidRPr="00AA4C5D" w:rsidRDefault="008C664A" w:rsidP="00DC66AB">
            <w:pPr>
              <w:spacing w:line="240" w:lineRule="auto"/>
              <w:rPr>
                <w:rFonts w:ascii="Arial" w:hAnsi="Arial" w:cs="Arial"/>
                <w:sz w:val="20"/>
                <w:szCs w:val="20"/>
              </w:rPr>
            </w:pPr>
          </w:p>
        </w:tc>
        <w:tc>
          <w:tcPr>
            <w:tcW w:w="4726" w:type="dxa"/>
          </w:tcPr>
          <w:p w14:paraId="6F1E67AC" w14:textId="77777777" w:rsidR="008C664A" w:rsidRPr="00AA4C5D" w:rsidRDefault="008C664A" w:rsidP="00DC66AB">
            <w:pPr>
              <w:spacing w:line="240" w:lineRule="auto"/>
              <w:rPr>
                <w:rFonts w:ascii="Arial" w:hAnsi="Arial" w:cs="Arial"/>
                <w:sz w:val="20"/>
                <w:szCs w:val="20"/>
              </w:rPr>
            </w:pPr>
          </w:p>
        </w:tc>
        <w:tc>
          <w:tcPr>
            <w:tcW w:w="2363" w:type="dxa"/>
          </w:tcPr>
          <w:p w14:paraId="7C7C1C67" w14:textId="77777777" w:rsidR="008C664A" w:rsidRPr="00AA4C5D" w:rsidRDefault="008C664A" w:rsidP="00DC66AB">
            <w:pPr>
              <w:spacing w:line="240" w:lineRule="auto"/>
              <w:rPr>
                <w:rFonts w:ascii="Arial" w:hAnsi="Arial" w:cs="Arial"/>
                <w:sz w:val="20"/>
                <w:szCs w:val="20"/>
              </w:rPr>
            </w:pPr>
          </w:p>
        </w:tc>
      </w:tr>
      <w:tr w:rsidR="008C664A" w14:paraId="70255E39" w14:textId="77777777" w:rsidTr="00DC66AB">
        <w:tc>
          <w:tcPr>
            <w:tcW w:w="534" w:type="dxa"/>
          </w:tcPr>
          <w:p w14:paraId="703BE70E" w14:textId="77777777" w:rsidR="008C664A"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21</w:t>
            </w:r>
          </w:p>
        </w:tc>
        <w:tc>
          <w:tcPr>
            <w:tcW w:w="4190" w:type="dxa"/>
          </w:tcPr>
          <w:p w14:paraId="451C0437" w14:textId="77777777" w:rsidR="008C664A" w:rsidRPr="00AA4C5D" w:rsidRDefault="008C664A" w:rsidP="00AA4C5D">
            <w:pPr>
              <w:autoSpaceDE w:val="0"/>
              <w:autoSpaceDN w:val="0"/>
              <w:adjustRightInd w:val="0"/>
              <w:spacing w:line="240" w:lineRule="auto"/>
              <w:jc w:val="both"/>
              <w:rPr>
                <w:rFonts w:ascii="Arial" w:hAnsi="Arial" w:cs="Arial"/>
                <w:bCs/>
                <w:spacing w:val="0"/>
                <w:sz w:val="20"/>
                <w:szCs w:val="20"/>
                <w:lang w:val="en-GB" w:eastAsia="en-GB"/>
              </w:rPr>
            </w:pPr>
            <w:r w:rsidRPr="00AA4C5D">
              <w:rPr>
                <w:rFonts w:ascii="Arial" w:hAnsi="Arial" w:cs="Arial"/>
                <w:bCs/>
                <w:spacing w:val="0"/>
                <w:sz w:val="20"/>
                <w:szCs w:val="20"/>
                <w:lang w:val="en-GB" w:eastAsia="en-GB"/>
              </w:rPr>
              <w:t>First response agencies and local authorities should review the resources available to</w:t>
            </w:r>
            <w:r w:rsidR="00AA4C5D" w:rsidRPr="00AA4C5D">
              <w:rPr>
                <w:rFonts w:ascii="Arial" w:hAnsi="Arial" w:cs="Arial"/>
                <w:bCs/>
                <w:spacing w:val="0"/>
                <w:sz w:val="20"/>
                <w:szCs w:val="20"/>
                <w:lang w:val="en-GB" w:eastAsia="en-GB"/>
              </w:rPr>
              <w:t xml:space="preserve"> </w:t>
            </w:r>
            <w:r w:rsidRPr="00AA4C5D">
              <w:rPr>
                <w:rFonts w:ascii="Arial" w:hAnsi="Arial" w:cs="Arial"/>
                <w:bCs/>
                <w:spacing w:val="0"/>
                <w:sz w:val="20"/>
                <w:szCs w:val="20"/>
                <w:lang w:val="en-GB" w:eastAsia="en-GB"/>
              </w:rPr>
              <w:t>their Press Offices in response to a major</w:t>
            </w:r>
            <w:r w:rsidR="00AA4C5D" w:rsidRPr="00AA4C5D">
              <w:rPr>
                <w:rFonts w:ascii="Arial" w:hAnsi="Arial" w:cs="Arial"/>
                <w:bCs/>
                <w:spacing w:val="0"/>
                <w:sz w:val="20"/>
                <w:szCs w:val="20"/>
                <w:lang w:val="en-GB" w:eastAsia="en-GB"/>
              </w:rPr>
              <w:t xml:space="preserve"> </w:t>
            </w:r>
            <w:r w:rsidRPr="00AA4C5D">
              <w:rPr>
                <w:rFonts w:ascii="Arial" w:hAnsi="Arial" w:cs="Arial"/>
                <w:bCs/>
                <w:spacing w:val="0"/>
                <w:sz w:val="20"/>
                <w:szCs w:val="20"/>
                <w:lang w:val="en-GB" w:eastAsia="en-GB"/>
              </w:rPr>
              <w:t xml:space="preserve">incident and consider whether adequate arrangements are in place to flex capacity quickly if further support is needed to deal with the demands of the media. This could be done by mobilising mutual aid from other Police Forces and partner organisations, including academic institutions with particular experience of social network messaging and communication. Consideration should also be given to allocating sufficient dedicated press </w:t>
            </w:r>
            <w:r w:rsidR="00AA4C5D" w:rsidRPr="00AA4C5D">
              <w:rPr>
                <w:rFonts w:ascii="Arial" w:hAnsi="Arial" w:cs="Arial"/>
                <w:bCs/>
                <w:spacing w:val="0"/>
                <w:sz w:val="20"/>
                <w:szCs w:val="20"/>
                <w:lang w:val="en-GB" w:eastAsia="en-GB"/>
              </w:rPr>
              <w:t>handlers at key sites (Ref 5.266 of report).</w:t>
            </w:r>
          </w:p>
        </w:tc>
        <w:tc>
          <w:tcPr>
            <w:tcW w:w="2363" w:type="dxa"/>
          </w:tcPr>
          <w:p w14:paraId="5EDA7CD5" w14:textId="77777777" w:rsidR="008C664A" w:rsidRPr="00AA4C5D" w:rsidRDefault="008C664A" w:rsidP="00DC66AB">
            <w:pPr>
              <w:spacing w:line="240" w:lineRule="auto"/>
              <w:rPr>
                <w:rFonts w:ascii="Arial" w:hAnsi="Arial" w:cs="Arial"/>
                <w:sz w:val="20"/>
                <w:szCs w:val="20"/>
              </w:rPr>
            </w:pPr>
          </w:p>
        </w:tc>
        <w:tc>
          <w:tcPr>
            <w:tcW w:w="4726" w:type="dxa"/>
          </w:tcPr>
          <w:p w14:paraId="7EF3E2D3" w14:textId="77777777" w:rsidR="008C664A" w:rsidRPr="00AA4C5D" w:rsidRDefault="008C664A" w:rsidP="00DC66AB">
            <w:pPr>
              <w:spacing w:line="240" w:lineRule="auto"/>
              <w:rPr>
                <w:rFonts w:ascii="Arial" w:hAnsi="Arial" w:cs="Arial"/>
                <w:sz w:val="20"/>
                <w:szCs w:val="20"/>
              </w:rPr>
            </w:pPr>
          </w:p>
        </w:tc>
        <w:tc>
          <w:tcPr>
            <w:tcW w:w="2363" w:type="dxa"/>
          </w:tcPr>
          <w:p w14:paraId="6D51A49F" w14:textId="77777777" w:rsidR="008C664A" w:rsidRPr="00AA4C5D" w:rsidRDefault="008C664A" w:rsidP="00DC66AB">
            <w:pPr>
              <w:spacing w:line="240" w:lineRule="auto"/>
              <w:rPr>
                <w:rFonts w:ascii="Arial" w:hAnsi="Arial" w:cs="Arial"/>
                <w:sz w:val="20"/>
                <w:szCs w:val="20"/>
              </w:rPr>
            </w:pPr>
          </w:p>
        </w:tc>
      </w:tr>
      <w:tr w:rsidR="00AA4C5D" w14:paraId="29C365B7" w14:textId="77777777" w:rsidTr="00DC66AB">
        <w:tc>
          <w:tcPr>
            <w:tcW w:w="534" w:type="dxa"/>
          </w:tcPr>
          <w:p w14:paraId="649C914A" w14:textId="77777777" w:rsidR="00AA4C5D"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22</w:t>
            </w:r>
          </w:p>
        </w:tc>
        <w:tc>
          <w:tcPr>
            <w:tcW w:w="4190" w:type="dxa"/>
          </w:tcPr>
          <w:p w14:paraId="657EA2F7" w14:textId="77777777" w:rsidR="00AA4C5D" w:rsidRPr="00AA4C5D" w:rsidRDefault="00AA4C5D" w:rsidP="00AA4C5D">
            <w:pPr>
              <w:autoSpaceDE w:val="0"/>
              <w:autoSpaceDN w:val="0"/>
              <w:adjustRightInd w:val="0"/>
              <w:spacing w:line="240" w:lineRule="auto"/>
              <w:jc w:val="both"/>
              <w:rPr>
                <w:rFonts w:ascii="Arial" w:hAnsi="Arial" w:cs="Arial"/>
                <w:bCs/>
                <w:spacing w:val="0"/>
                <w:sz w:val="20"/>
                <w:szCs w:val="20"/>
                <w:lang w:val="en-GB" w:eastAsia="en-GB"/>
              </w:rPr>
            </w:pPr>
            <w:r w:rsidRPr="00AA4C5D">
              <w:rPr>
                <w:rFonts w:ascii="Arial" w:hAnsi="Arial" w:cs="Arial"/>
                <w:bCs/>
                <w:spacing w:val="0"/>
                <w:sz w:val="20"/>
                <w:szCs w:val="20"/>
                <w:lang w:val="en-GB" w:eastAsia="en-GB"/>
              </w:rPr>
              <w:t>Operators of all key/iconic sites should be actively encouraged and enabled to participate in Local Resilience Forum planning, training and exercising (Ref 5.273 of report).</w:t>
            </w:r>
          </w:p>
        </w:tc>
        <w:tc>
          <w:tcPr>
            <w:tcW w:w="2363" w:type="dxa"/>
          </w:tcPr>
          <w:p w14:paraId="463ECAD3" w14:textId="77777777" w:rsidR="00AA4C5D" w:rsidRPr="00AA4C5D" w:rsidRDefault="00AA4C5D" w:rsidP="00DC66AB">
            <w:pPr>
              <w:spacing w:line="240" w:lineRule="auto"/>
              <w:rPr>
                <w:rFonts w:ascii="Arial" w:hAnsi="Arial" w:cs="Arial"/>
                <w:sz w:val="20"/>
                <w:szCs w:val="20"/>
              </w:rPr>
            </w:pPr>
          </w:p>
        </w:tc>
        <w:tc>
          <w:tcPr>
            <w:tcW w:w="4726" w:type="dxa"/>
          </w:tcPr>
          <w:p w14:paraId="71F7EC79" w14:textId="77777777" w:rsidR="00AA4C5D" w:rsidRPr="00AA4C5D" w:rsidRDefault="00AA4C5D" w:rsidP="00DC66AB">
            <w:pPr>
              <w:spacing w:line="240" w:lineRule="auto"/>
              <w:rPr>
                <w:rFonts w:ascii="Arial" w:hAnsi="Arial" w:cs="Arial"/>
                <w:sz w:val="20"/>
                <w:szCs w:val="20"/>
              </w:rPr>
            </w:pPr>
          </w:p>
        </w:tc>
        <w:tc>
          <w:tcPr>
            <w:tcW w:w="2363" w:type="dxa"/>
          </w:tcPr>
          <w:p w14:paraId="4F37C668" w14:textId="77777777" w:rsidR="00AA4C5D" w:rsidRPr="00AA4C5D" w:rsidRDefault="00AA4C5D" w:rsidP="00DC66AB">
            <w:pPr>
              <w:spacing w:line="240" w:lineRule="auto"/>
              <w:rPr>
                <w:rFonts w:ascii="Arial" w:hAnsi="Arial" w:cs="Arial"/>
                <w:sz w:val="20"/>
                <w:szCs w:val="20"/>
              </w:rPr>
            </w:pPr>
          </w:p>
        </w:tc>
      </w:tr>
      <w:tr w:rsidR="00AA4C5D" w14:paraId="40546D74" w14:textId="77777777" w:rsidTr="00DC66AB">
        <w:tc>
          <w:tcPr>
            <w:tcW w:w="534" w:type="dxa"/>
          </w:tcPr>
          <w:p w14:paraId="4821E077" w14:textId="77777777" w:rsidR="00AA4C5D" w:rsidRPr="00AA4C5D" w:rsidRDefault="00AA4C5D" w:rsidP="00AA4C5D">
            <w:pPr>
              <w:spacing w:line="240" w:lineRule="auto"/>
              <w:jc w:val="center"/>
              <w:rPr>
                <w:rFonts w:ascii="Arial" w:hAnsi="Arial" w:cs="Arial"/>
                <w:sz w:val="20"/>
                <w:szCs w:val="20"/>
              </w:rPr>
            </w:pPr>
            <w:r w:rsidRPr="00AA4C5D">
              <w:rPr>
                <w:rFonts w:ascii="Arial" w:hAnsi="Arial" w:cs="Arial"/>
                <w:sz w:val="20"/>
                <w:szCs w:val="20"/>
              </w:rPr>
              <w:t>23</w:t>
            </w:r>
          </w:p>
        </w:tc>
        <w:tc>
          <w:tcPr>
            <w:tcW w:w="4190" w:type="dxa"/>
          </w:tcPr>
          <w:p w14:paraId="56AD1DE7" w14:textId="77777777" w:rsidR="00AA4C5D" w:rsidRPr="00AA4C5D" w:rsidRDefault="00AA4C5D" w:rsidP="00AA4C5D">
            <w:pPr>
              <w:autoSpaceDE w:val="0"/>
              <w:autoSpaceDN w:val="0"/>
              <w:adjustRightInd w:val="0"/>
              <w:spacing w:line="240" w:lineRule="auto"/>
              <w:jc w:val="both"/>
              <w:rPr>
                <w:rFonts w:ascii="Arial" w:hAnsi="Arial" w:cs="Arial"/>
                <w:bCs/>
                <w:spacing w:val="0"/>
                <w:sz w:val="20"/>
                <w:szCs w:val="20"/>
                <w:lang w:val="en-GB" w:eastAsia="en-GB"/>
              </w:rPr>
            </w:pPr>
            <w:r w:rsidRPr="00AA4C5D">
              <w:rPr>
                <w:rFonts w:ascii="Arial" w:hAnsi="Arial" w:cs="Arial"/>
                <w:bCs/>
                <w:spacing w:val="0"/>
                <w:sz w:val="20"/>
                <w:szCs w:val="20"/>
                <w:lang w:val="en-GB" w:eastAsia="en-GB"/>
              </w:rPr>
              <w:t>All agencies should be minded to explore the use of encrypted social media in improving their internal emergency activation arrangements, together with their internal communication systems for updating staff during an emergency (Ref 5.287 of report).</w:t>
            </w:r>
          </w:p>
        </w:tc>
        <w:tc>
          <w:tcPr>
            <w:tcW w:w="2363" w:type="dxa"/>
          </w:tcPr>
          <w:p w14:paraId="4A611D9B" w14:textId="77777777" w:rsidR="00AA4C5D" w:rsidRPr="00AA4C5D" w:rsidRDefault="00AA4C5D" w:rsidP="00DC66AB">
            <w:pPr>
              <w:spacing w:line="240" w:lineRule="auto"/>
              <w:rPr>
                <w:rFonts w:ascii="Arial" w:hAnsi="Arial" w:cs="Arial"/>
                <w:sz w:val="20"/>
                <w:szCs w:val="20"/>
              </w:rPr>
            </w:pPr>
          </w:p>
        </w:tc>
        <w:tc>
          <w:tcPr>
            <w:tcW w:w="4726" w:type="dxa"/>
          </w:tcPr>
          <w:p w14:paraId="0AB9925D" w14:textId="77777777" w:rsidR="00AA4C5D" w:rsidRPr="00AA4C5D" w:rsidRDefault="00AA4C5D" w:rsidP="00DC66AB">
            <w:pPr>
              <w:spacing w:line="240" w:lineRule="auto"/>
              <w:rPr>
                <w:rFonts w:ascii="Arial" w:hAnsi="Arial" w:cs="Arial"/>
                <w:sz w:val="20"/>
                <w:szCs w:val="20"/>
              </w:rPr>
            </w:pPr>
          </w:p>
        </w:tc>
        <w:tc>
          <w:tcPr>
            <w:tcW w:w="2363" w:type="dxa"/>
          </w:tcPr>
          <w:p w14:paraId="0C309F1A" w14:textId="77777777" w:rsidR="00AA4C5D" w:rsidRPr="00AA4C5D" w:rsidRDefault="00AA4C5D" w:rsidP="00DC66AB">
            <w:pPr>
              <w:spacing w:line="240" w:lineRule="auto"/>
              <w:rPr>
                <w:rFonts w:ascii="Arial" w:hAnsi="Arial" w:cs="Arial"/>
                <w:sz w:val="20"/>
                <w:szCs w:val="20"/>
              </w:rPr>
            </w:pPr>
          </w:p>
        </w:tc>
      </w:tr>
    </w:tbl>
    <w:p w14:paraId="01F7E026" w14:textId="77777777" w:rsidR="006930E2" w:rsidRDefault="006930E2" w:rsidP="002F1C41">
      <w:pPr>
        <w:jc w:val="both"/>
        <w:rPr>
          <w:rFonts w:ascii="Arial" w:hAnsi="Arial" w:cs="Arial"/>
          <w:b/>
          <w:sz w:val="22"/>
          <w:szCs w:val="22"/>
          <w:u w:val="single"/>
        </w:rPr>
      </w:pPr>
    </w:p>
    <w:p w14:paraId="1D5EBF97" w14:textId="77777777" w:rsidR="00770ABD" w:rsidRDefault="00770ABD" w:rsidP="002F1C41">
      <w:pPr>
        <w:jc w:val="both"/>
        <w:rPr>
          <w:rFonts w:ascii="Arial" w:hAnsi="Arial" w:cs="Arial"/>
          <w:b/>
          <w:sz w:val="22"/>
          <w:szCs w:val="22"/>
          <w:u w:val="single"/>
        </w:rPr>
      </w:pPr>
    </w:p>
    <w:p w14:paraId="56E8B6A8" w14:textId="77777777" w:rsidR="00770ABD" w:rsidRDefault="00770ABD" w:rsidP="002F1C41">
      <w:pPr>
        <w:jc w:val="both"/>
        <w:rPr>
          <w:rFonts w:ascii="Arial" w:hAnsi="Arial" w:cs="Arial"/>
          <w:b/>
          <w:sz w:val="22"/>
          <w:szCs w:val="22"/>
          <w:u w:val="single"/>
        </w:rPr>
      </w:pPr>
    </w:p>
    <w:p w14:paraId="38B441B8" w14:textId="77777777" w:rsidR="00770ABD" w:rsidRDefault="00770ABD" w:rsidP="002F1C41">
      <w:pPr>
        <w:jc w:val="both"/>
        <w:rPr>
          <w:rFonts w:ascii="Arial" w:hAnsi="Arial" w:cs="Arial"/>
          <w:b/>
          <w:sz w:val="22"/>
          <w:szCs w:val="22"/>
          <w:u w:val="single"/>
        </w:rPr>
      </w:pPr>
    </w:p>
    <w:sectPr w:rsidR="00770ABD" w:rsidSect="00DD3FCD">
      <w:pgSz w:w="16840" w:h="12134" w:orient="landscape" w:code="9"/>
      <w:pgMar w:top="1418" w:right="1440" w:bottom="1418"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7627" w14:textId="77777777" w:rsidR="00516121" w:rsidRDefault="00516121">
      <w:r>
        <w:separator/>
      </w:r>
    </w:p>
  </w:endnote>
  <w:endnote w:type="continuationSeparator" w:id="0">
    <w:p w14:paraId="4D3922B4" w14:textId="77777777" w:rsidR="00516121" w:rsidRDefault="0051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8EA5" w14:textId="77777777" w:rsidR="00A12D4D" w:rsidRDefault="00A12D4D">
    <w:pPr>
      <w:pStyle w:val="Footer"/>
      <w:jc w:val="center"/>
    </w:pPr>
  </w:p>
  <w:p w14:paraId="5817177F" w14:textId="5F382E62" w:rsidR="000E39AB" w:rsidRPr="0087496C" w:rsidRDefault="000E39AB" w:rsidP="000E39AB">
    <w:pPr>
      <w:tabs>
        <w:tab w:val="center" w:pos="5103"/>
        <w:tab w:val="right" w:pos="10206"/>
      </w:tabs>
      <w:spacing w:line="240" w:lineRule="auto"/>
      <w:rPr>
        <w:rFonts w:ascii="Arial" w:hAnsi="Arial"/>
        <w:color w:val="999999"/>
        <w:spacing w:val="0"/>
        <w:sz w:val="16"/>
        <w:szCs w:val="24"/>
        <w:lang w:val="en-GB"/>
      </w:rPr>
    </w:pPr>
    <w:r w:rsidRPr="0087496C">
      <w:rPr>
        <w:rFonts w:ascii="Arial" w:hAnsi="Arial"/>
        <w:color w:val="999999"/>
        <w:spacing w:val="0"/>
        <w:sz w:val="16"/>
        <w:szCs w:val="24"/>
        <w:lang w:val="en-GB"/>
      </w:rPr>
      <w:t xml:space="preserve">Page </w:t>
    </w:r>
    <w:r w:rsidRPr="0087496C">
      <w:rPr>
        <w:rFonts w:ascii="Arial" w:hAnsi="Arial"/>
        <w:color w:val="999999"/>
        <w:spacing w:val="0"/>
        <w:sz w:val="16"/>
        <w:szCs w:val="24"/>
        <w:lang w:val="en-GB"/>
      </w:rPr>
      <w:fldChar w:fldCharType="begin"/>
    </w:r>
    <w:r w:rsidRPr="0087496C">
      <w:rPr>
        <w:rFonts w:ascii="Arial" w:hAnsi="Arial"/>
        <w:color w:val="999999"/>
        <w:spacing w:val="0"/>
        <w:sz w:val="16"/>
        <w:szCs w:val="24"/>
        <w:lang w:val="en-GB"/>
      </w:rPr>
      <w:instrText xml:space="preserve"> PAGE </w:instrText>
    </w:r>
    <w:r w:rsidRPr="0087496C">
      <w:rPr>
        <w:rFonts w:ascii="Arial" w:hAnsi="Arial"/>
        <w:color w:val="999999"/>
        <w:spacing w:val="0"/>
        <w:sz w:val="16"/>
        <w:szCs w:val="24"/>
        <w:lang w:val="en-GB"/>
      </w:rPr>
      <w:fldChar w:fldCharType="separate"/>
    </w:r>
    <w:r w:rsidR="00A07882">
      <w:rPr>
        <w:rFonts w:ascii="Arial" w:hAnsi="Arial"/>
        <w:noProof/>
        <w:color w:val="999999"/>
        <w:spacing w:val="0"/>
        <w:sz w:val="16"/>
        <w:szCs w:val="24"/>
        <w:lang w:val="en-GB"/>
      </w:rPr>
      <w:t>5</w:t>
    </w:r>
    <w:r w:rsidRPr="0087496C">
      <w:rPr>
        <w:rFonts w:ascii="Arial" w:hAnsi="Arial"/>
        <w:noProof/>
        <w:color w:val="999999"/>
        <w:spacing w:val="0"/>
        <w:sz w:val="16"/>
        <w:szCs w:val="24"/>
        <w:lang w:val="en-GB"/>
      </w:rPr>
      <w:fldChar w:fldCharType="end"/>
    </w:r>
    <w:r w:rsidRPr="0087496C">
      <w:rPr>
        <w:rFonts w:ascii="Arial" w:hAnsi="Arial"/>
        <w:color w:val="999999"/>
        <w:spacing w:val="0"/>
        <w:sz w:val="16"/>
        <w:szCs w:val="24"/>
        <w:lang w:val="en-GB"/>
      </w:rPr>
      <w:t xml:space="preserve"> of </w:t>
    </w:r>
    <w:r w:rsidRPr="0087496C">
      <w:rPr>
        <w:rFonts w:ascii="Arial" w:hAnsi="Arial"/>
        <w:color w:val="999999"/>
        <w:spacing w:val="0"/>
        <w:sz w:val="16"/>
        <w:szCs w:val="24"/>
        <w:lang w:val="en-GB"/>
      </w:rPr>
      <w:fldChar w:fldCharType="begin"/>
    </w:r>
    <w:r w:rsidRPr="0087496C">
      <w:rPr>
        <w:rFonts w:ascii="Arial" w:hAnsi="Arial"/>
        <w:color w:val="999999"/>
        <w:spacing w:val="0"/>
        <w:sz w:val="16"/>
        <w:szCs w:val="24"/>
        <w:lang w:val="en-GB"/>
      </w:rPr>
      <w:instrText xml:space="preserve"> NUMPAGES </w:instrText>
    </w:r>
    <w:r w:rsidRPr="0087496C">
      <w:rPr>
        <w:rFonts w:ascii="Arial" w:hAnsi="Arial"/>
        <w:color w:val="999999"/>
        <w:spacing w:val="0"/>
        <w:sz w:val="16"/>
        <w:szCs w:val="24"/>
        <w:lang w:val="en-GB"/>
      </w:rPr>
      <w:fldChar w:fldCharType="separate"/>
    </w:r>
    <w:r w:rsidR="00A07882">
      <w:rPr>
        <w:rFonts w:ascii="Arial" w:hAnsi="Arial"/>
        <w:noProof/>
        <w:color w:val="999999"/>
        <w:spacing w:val="0"/>
        <w:sz w:val="16"/>
        <w:szCs w:val="24"/>
        <w:lang w:val="en-GB"/>
      </w:rPr>
      <w:t>8</w:t>
    </w:r>
    <w:r w:rsidRPr="0087496C">
      <w:rPr>
        <w:rFonts w:ascii="Arial" w:hAnsi="Arial"/>
        <w:noProof/>
        <w:color w:val="999999"/>
        <w:spacing w:val="0"/>
        <w:sz w:val="16"/>
        <w:szCs w:val="24"/>
        <w:lang w:val="en-GB"/>
      </w:rPr>
      <w:fldChar w:fldCharType="end"/>
    </w:r>
    <w:r w:rsidRPr="0087496C">
      <w:rPr>
        <w:rFonts w:ascii="Arial" w:hAnsi="Arial"/>
        <w:color w:val="999999"/>
        <w:spacing w:val="0"/>
        <w:sz w:val="16"/>
        <w:szCs w:val="24"/>
        <w:lang w:val="en-GB"/>
      </w:rPr>
      <w:tab/>
    </w:r>
    <w:r>
      <w:rPr>
        <w:rFonts w:ascii="Arial" w:hAnsi="Arial"/>
        <w:color w:val="999999"/>
        <w:spacing w:val="0"/>
        <w:sz w:val="16"/>
        <w:szCs w:val="24"/>
        <w:lang w:val="en-GB"/>
      </w:rPr>
      <w:t>USAR National Working Group</w:t>
    </w:r>
    <w:r w:rsidRPr="0087496C">
      <w:rPr>
        <w:rFonts w:ascii="Arial" w:hAnsi="Arial"/>
        <w:color w:val="999999"/>
        <w:spacing w:val="0"/>
        <w:sz w:val="16"/>
        <w:szCs w:val="24"/>
        <w:lang w:val="en-GB"/>
      </w:rPr>
      <w:tab/>
    </w:r>
    <w:r w:rsidR="000A4F39">
      <w:rPr>
        <w:rFonts w:ascii="Arial" w:hAnsi="Arial"/>
        <w:color w:val="999999"/>
        <w:spacing w:val="0"/>
        <w:sz w:val="16"/>
        <w:szCs w:val="24"/>
        <w:lang w:val="en-GB"/>
      </w:rPr>
      <w:t>Date: 21.06</w:t>
    </w:r>
    <w:r w:rsidR="00F57739">
      <w:rPr>
        <w:rFonts w:ascii="Arial" w:hAnsi="Arial"/>
        <w:color w:val="999999"/>
        <w:spacing w:val="0"/>
        <w:sz w:val="16"/>
        <w:szCs w:val="24"/>
        <w:lang w:val="en-GB"/>
      </w:rPr>
      <w:t>.18</w:t>
    </w:r>
  </w:p>
  <w:p w14:paraId="08ED4EE3" w14:textId="77777777" w:rsidR="000E39AB" w:rsidRDefault="000E39AB" w:rsidP="000E39AB">
    <w:pPr>
      <w:pStyle w:val="Footer"/>
      <w:jc w:val="center"/>
    </w:pPr>
  </w:p>
  <w:p w14:paraId="12F81596" w14:textId="77777777" w:rsidR="00A12D4D" w:rsidRDefault="00A1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7716" w14:textId="2E2C98A0" w:rsidR="0087496C" w:rsidRPr="0087496C" w:rsidRDefault="0087496C" w:rsidP="0087496C">
    <w:pPr>
      <w:tabs>
        <w:tab w:val="center" w:pos="5103"/>
        <w:tab w:val="right" w:pos="10206"/>
      </w:tabs>
      <w:spacing w:line="240" w:lineRule="auto"/>
      <w:rPr>
        <w:rFonts w:ascii="Arial" w:hAnsi="Arial"/>
        <w:color w:val="999999"/>
        <w:spacing w:val="0"/>
        <w:sz w:val="16"/>
        <w:szCs w:val="24"/>
        <w:lang w:val="en-GB"/>
      </w:rPr>
    </w:pPr>
    <w:r w:rsidRPr="0087496C">
      <w:rPr>
        <w:rFonts w:ascii="Arial" w:hAnsi="Arial"/>
        <w:color w:val="999999"/>
        <w:spacing w:val="0"/>
        <w:sz w:val="16"/>
        <w:szCs w:val="24"/>
        <w:lang w:val="en-GB"/>
      </w:rPr>
      <w:t xml:space="preserve">Page </w:t>
    </w:r>
    <w:r w:rsidRPr="0087496C">
      <w:rPr>
        <w:rFonts w:ascii="Arial" w:hAnsi="Arial"/>
        <w:color w:val="999999"/>
        <w:spacing w:val="0"/>
        <w:sz w:val="16"/>
        <w:szCs w:val="24"/>
        <w:lang w:val="en-GB"/>
      </w:rPr>
      <w:fldChar w:fldCharType="begin"/>
    </w:r>
    <w:r w:rsidRPr="0087496C">
      <w:rPr>
        <w:rFonts w:ascii="Arial" w:hAnsi="Arial"/>
        <w:color w:val="999999"/>
        <w:spacing w:val="0"/>
        <w:sz w:val="16"/>
        <w:szCs w:val="24"/>
        <w:lang w:val="en-GB"/>
      </w:rPr>
      <w:instrText xml:space="preserve"> PAGE </w:instrText>
    </w:r>
    <w:r w:rsidRPr="0087496C">
      <w:rPr>
        <w:rFonts w:ascii="Arial" w:hAnsi="Arial"/>
        <w:color w:val="999999"/>
        <w:spacing w:val="0"/>
        <w:sz w:val="16"/>
        <w:szCs w:val="24"/>
        <w:lang w:val="en-GB"/>
      </w:rPr>
      <w:fldChar w:fldCharType="separate"/>
    </w:r>
    <w:r w:rsidR="00A07882">
      <w:rPr>
        <w:rFonts w:ascii="Arial" w:hAnsi="Arial"/>
        <w:noProof/>
        <w:color w:val="999999"/>
        <w:spacing w:val="0"/>
        <w:sz w:val="16"/>
        <w:szCs w:val="24"/>
        <w:lang w:val="en-GB"/>
      </w:rPr>
      <w:t>3</w:t>
    </w:r>
    <w:r w:rsidRPr="0087496C">
      <w:rPr>
        <w:rFonts w:ascii="Arial" w:hAnsi="Arial"/>
        <w:noProof/>
        <w:color w:val="999999"/>
        <w:spacing w:val="0"/>
        <w:sz w:val="16"/>
        <w:szCs w:val="24"/>
        <w:lang w:val="en-GB"/>
      </w:rPr>
      <w:fldChar w:fldCharType="end"/>
    </w:r>
    <w:r w:rsidRPr="0087496C">
      <w:rPr>
        <w:rFonts w:ascii="Arial" w:hAnsi="Arial"/>
        <w:color w:val="999999"/>
        <w:spacing w:val="0"/>
        <w:sz w:val="16"/>
        <w:szCs w:val="24"/>
        <w:lang w:val="en-GB"/>
      </w:rPr>
      <w:t xml:space="preserve"> of </w:t>
    </w:r>
    <w:r w:rsidRPr="0087496C">
      <w:rPr>
        <w:rFonts w:ascii="Arial" w:hAnsi="Arial"/>
        <w:color w:val="999999"/>
        <w:spacing w:val="0"/>
        <w:sz w:val="16"/>
        <w:szCs w:val="24"/>
        <w:lang w:val="en-GB"/>
      </w:rPr>
      <w:fldChar w:fldCharType="begin"/>
    </w:r>
    <w:r w:rsidRPr="0087496C">
      <w:rPr>
        <w:rFonts w:ascii="Arial" w:hAnsi="Arial"/>
        <w:color w:val="999999"/>
        <w:spacing w:val="0"/>
        <w:sz w:val="16"/>
        <w:szCs w:val="24"/>
        <w:lang w:val="en-GB"/>
      </w:rPr>
      <w:instrText xml:space="preserve"> NUMPAGES </w:instrText>
    </w:r>
    <w:r w:rsidRPr="0087496C">
      <w:rPr>
        <w:rFonts w:ascii="Arial" w:hAnsi="Arial"/>
        <w:color w:val="999999"/>
        <w:spacing w:val="0"/>
        <w:sz w:val="16"/>
        <w:szCs w:val="24"/>
        <w:lang w:val="en-GB"/>
      </w:rPr>
      <w:fldChar w:fldCharType="separate"/>
    </w:r>
    <w:r w:rsidR="00A07882">
      <w:rPr>
        <w:rFonts w:ascii="Arial" w:hAnsi="Arial"/>
        <w:noProof/>
        <w:color w:val="999999"/>
        <w:spacing w:val="0"/>
        <w:sz w:val="16"/>
        <w:szCs w:val="24"/>
        <w:lang w:val="en-GB"/>
      </w:rPr>
      <w:t>8</w:t>
    </w:r>
    <w:r w:rsidRPr="0087496C">
      <w:rPr>
        <w:rFonts w:ascii="Arial" w:hAnsi="Arial"/>
        <w:noProof/>
        <w:color w:val="999999"/>
        <w:spacing w:val="0"/>
        <w:sz w:val="16"/>
        <w:szCs w:val="24"/>
        <w:lang w:val="en-GB"/>
      </w:rPr>
      <w:fldChar w:fldCharType="end"/>
    </w:r>
    <w:r w:rsidRPr="0087496C">
      <w:rPr>
        <w:rFonts w:ascii="Arial" w:hAnsi="Arial"/>
        <w:color w:val="999999"/>
        <w:spacing w:val="0"/>
        <w:sz w:val="16"/>
        <w:szCs w:val="24"/>
        <w:lang w:val="en-GB"/>
      </w:rPr>
      <w:tab/>
    </w:r>
    <w:r w:rsidR="00E36A03">
      <w:rPr>
        <w:rFonts w:ascii="Arial" w:hAnsi="Arial"/>
        <w:color w:val="999999"/>
        <w:spacing w:val="0"/>
        <w:sz w:val="16"/>
        <w:szCs w:val="24"/>
        <w:lang w:val="en-GB"/>
      </w:rPr>
      <w:t xml:space="preserve">MTFA </w:t>
    </w:r>
    <w:r w:rsidR="00954336">
      <w:rPr>
        <w:rFonts w:ascii="Arial" w:hAnsi="Arial"/>
        <w:color w:val="999999"/>
        <w:spacing w:val="0"/>
        <w:sz w:val="16"/>
        <w:szCs w:val="24"/>
        <w:lang w:val="en-GB"/>
      </w:rPr>
      <w:t xml:space="preserve">National Working </w:t>
    </w:r>
    <w:r w:rsidR="00B65014">
      <w:rPr>
        <w:rFonts w:ascii="Arial" w:hAnsi="Arial"/>
        <w:color w:val="999999"/>
        <w:spacing w:val="0"/>
        <w:sz w:val="16"/>
        <w:szCs w:val="24"/>
        <w:lang w:val="en-GB"/>
      </w:rPr>
      <w:t>Group</w:t>
    </w:r>
    <w:r w:rsidRPr="0087496C">
      <w:rPr>
        <w:rFonts w:ascii="Arial" w:hAnsi="Arial"/>
        <w:color w:val="999999"/>
        <w:spacing w:val="0"/>
        <w:sz w:val="16"/>
        <w:szCs w:val="24"/>
        <w:lang w:val="en-GB"/>
      </w:rPr>
      <w:tab/>
    </w:r>
    <w:r>
      <w:rPr>
        <w:rFonts w:ascii="Arial" w:hAnsi="Arial"/>
        <w:color w:val="999999"/>
        <w:spacing w:val="0"/>
        <w:sz w:val="16"/>
        <w:szCs w:val="24"/>
        <w:lang w:val="en-GB"/>
      </w:rPr>
      <w:t>Date</w:t>
    </w:r>
    <w:r w:rsidR="00E36A03">
      <w:rPr>
        <w:rFonts w:ascii="Arial" w:hAnsi="Arial"/>
        <w:color w:val="999999"/>
        <w:spacing w:val="0"/>
        <w:sz w:val="16"/>
        <w:szCs w:val="24"/>
        <w:lang w:val="en-GB"/>
      </w:rPr>
      <w:t>:</w:t>
    </w:r>
    <w:r w:rsidR="000A4F39">
      <w:rPr>
        <w:rFonts w:ascii="Arial" w:hAnsi="Arial"/>
        <w:color w:val="999999"/>
        <w:spacing w:val="0"/>
        <w:sz w:val="16"/>
        <w:szCs w:val="24"/>
        <w:lang w:val="en-GB"/>
      </w:rPr>
      <w:t xml:space="preserve"> 21.06</w:t>
    </w:r>
    <w:r w:rsidR="00F57739">
      <w:rPr>
        <w:rFonts w:ascii="Arial" w:hAnsi="Arial"/>
        <w:color w:val="999999"/>
        <w:spacing w:val="0"/>
        <w:sz w:val="16"/>
        <w:szCs w:val="24"/>
        <w:lang w:val="en-GB"/>
      </w:rPr>
      <w:t>.18</w:t>
    </w:r>
  </w:p>
  <w:p w14:paraId="1ACA8194" w14:textId="77777777" w:rsidR="0087496C" w:rsidRPr="0087496C" w:rsidRDefault="0087496C" w:rsidP="0087496C">
    <w:pPr>
      <w:tabs>
        <w:tab w:val="center" w:pos="5103"/>
        <w:tab w:val="right" w:pos="10206"/>
      </w:tabs>
      <w:spacing w:line="240" w:lineRule="auto"/>
      <w:rPr>
        <w:rFonts w:ascii="Arial" w:hAnsi="Arial"/>
        <w:color w:val="999999"/>
        <w:spacing w:val="0"/>
        <w:sz w:val="16"/>
        <w:szCs w:val="24"/>
        <w:lang w:val="en-GB"/>
      </w:rPr>
    </w:pPr>
  </w:p>
  <w:p w14:paraId="65D9C489" w14:textId="77777777" w:rsidR="0087496C" w:rsidRDefault="0087496C" w:rsidP="00C861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76FA5" w14:textId="77777777" w:rsidR="00516121" w:rsidRDefault="00516121">
      <w:r>
        <w:separator/>
      </w:r>
    </w:p>
  </w:footnote>
  <w:footnote w:type="continuationSeparator" w:id="0">
    <w:p w14:paraId="1B1B9BA3" w14:textId="77777777" w:rsidR="00516121" w:rsidRDefault="0051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6BCF" w14:textId="77777777" w:rsidR="00B25E60" w:rsidRDefault="00B25E60">
    <w:pPr>
      <w:pStyle w:val="Header"/>
    </w:pPr>
  </w:p>
  <w:p w14:paraId="2B1D9966" w14:textId="77777777" w:rsidR="00B25E60" w:rsidRDefault="00B25E60">
    <w:pPr>
      <w:pStyle w:val="Header"/>
    </w:pPr>
  </w:p>
  <w:p w14:paraId="2992B68C" w14:textId="77777777" w:rsidR="00B25E60" w:rsidRPr="00B25E60" w:rsidRDefault="00B25E60">
    <w:pPr>
      <w:pStyle w:val="Head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9CF1" w14:textId="77777777" w:rsidR="009B785C" w:rsidRDefault="009B785C">
    <w:pPr>
      <w:pStyle w:val="Header"/>
    </w:pPr>
    <w:r>
      <w:rPr>
        <w:noProof/>
        <w:lang w:val="en-GB" w:eastAsia="en-GB"/>
      </w:rPr>
      <w:drawing>
        <wp:anchor distT="0" distB="0" distL="114300" distR="114300" simplePos="0" relativeHeight="251659264" behindDoc="0" locked="0" layoutInCell="1" allowOverlap="1" wp14:anchorId="3A32B3EB" wp14:editId="462D1C2E">
          <wp:simplePos x="0" y="0"/>
          <wp:positionH relativeFrom="column">
            <wp:posOffset>-698500</wp:posOffset>
          </wp:positionH>
          <wp:positionV relativeFrom="paragraph">
            <wp:posOffset>177800</wp:posOffset>
          </wp:positionV>
          <wp:extent cx="2381655" cy="10763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OA NFCC.pd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655"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2D2"/>
    <w:multiLevelType w:val="hybridMultilevel"/>
    <w:tmpl w:val="6160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0099"/>
    <w:multiLevelType w:val="hybridMultilevel"/>
    <w:tmpl w:val="363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27B4C"/>
    <w:multiLevelType w:val="hybridMultilevel"/>
    <w:tmpl w:val="C39A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A6E0E"/>
    <w:multiLevelType w:val="hybridMultilevel"/>
    <w:tmpl w:val="D454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F0C99"/>
    <w:multiLevelType w:val="hybridMultilevel"/>
    <w:tmpl w:val="E82C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64EB9"/>
    <w:multiLevelType w:val="hybridMultilevel"/>
    <w:tmpl w:val="2D0693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3556A"/>
    <w:multiLevelType w:val="hybridMultilevel"/>
    <w:tmpl w:val="F59E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12C41"/>
    <w:multiLevelType w:val="hybridMultilevel"/>
    <w:tmpl w:val="D62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15625"/>
    <w:multiLevelType w:val="hybridMultilevel"/>
    <w:tmpl w:val="FD64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A6291"/>
    <w:multiLevelType w:val="hybridMultilevel"/>
    <w:tmpl w:val="5088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43E0E"/>
    <w:multiLevelType w:val="hybridMultilevel"/>
    <w:tmpl w:val="C56C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B3D04"/>
    <w:multiLevelType w:val="hybridMultilevel"/>
    <w:tmpl w:val="F8F0D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69B7B89"/>
    <w:multiLevelType w:val="hybridMultilevel"/>
    <w:tmpl w:val="E102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F54C5C"/>
    <w:multiLevelType w:val="hybridMultilevel"/>
    <w:tmpl w:val="6DF4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8"/>
  </w:num>
  <w:num w:numId="7">
    <w:abstractNumId w:val="0"/>
  </w:num>
  <w:num w:numId="8">
    <w:abstractNumId w:val="1"/>
  </w:num>
  <w:num w:numId="9">
    <w:abstractNumId w:val="9"/>
  </w:num>
  <w:num w:numId="10">
    <w:abstractNumId w:val="13"/>
  </w:num>
  <w:num w:numId="11">
    <w:abstractNumId w:val="12"/>
  </w:num>
  <w:num w:numId="12">
    <w:abstractNumId w:val="10"/>
  </w:num>
  <w:num w:numId="13">
    <w:abstractNumId w:val="11"/>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7"/>
  <w:displayHorizontalDrawingGridEvery w:val="2"/>
  <w:noPunctuationKerning/>
  <w:characterSpacingControl w:val="doNotCompress"/>
  <w:hdrShapeDefaults>
    <o:shapedefaults v:ext="edit" spidmax="4097">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1F"/>
    <w:rsid w:val="00001415"/>
    <w:rsid w:val="00003400"/>
    <w:rsid w:val="000153CE"/>
    <w:rsid w:val="0002728B"/>
    <w:rsid w:val="00030CED"/>
    <w:rsid w:val="00031137"/>
    <w:rsid w:val="00031AA5"/>
    <w:rsid w:val="0003612F"/>
    <w:rsid w:val="000442E4"/>
    <w:rsid w:val="0004435B"/>
    <w:rsid w:val="00054BF3"/>
    <w:rsid w:val="00055188"/>
    <w:rsid w:val="00062B3D"/>
    <w:rsid w:val="00064B1C"/>
    <w:rsid w:val="000668A2"/>
    <w:rsid w:val="000817A9"/>
    <w:rsid w:val="000936D2"/>
    <w:rsid w:val="00095105"/>
    <w:rsid w:val="000A0DF3"/>
    <w:rsid w:val="000A455F"/>
    <w:rsid w:val="000A4F39"/>
    <w:rsid w:val="000B0584"/>
    <w:rsid w:val="000C7471"/>
    <w:rsid w:val="000D0D2E"/>
    <w:rsid w:val="000D0E1C"/>
    <w:rsid w:val="000D4785"/>
    <w:rsid w:val="000D7F8E"/>
    <w:rsid w:val="000E0523"/>
    <w:rsid w:val="000E2569"/>
    <w:rsid w:val="000E39AB"/>
    <w:rsid w:val="000E4F09"/>
    <w:rsid w:val="000F5D6A"/>
    <w:rsid w:val="00101FDA"/>
    <w:rsid w:val="00103B88"/>
    <w:rsid w:val="00104EAE"/>
    <w:rsid w:val="00106E5A"/>
    <w:rsid w:val="001166F9"/>
    <w:rsid w:val="001216BA"/>
    <w:rsid w:val="00121C94"/>
    <w:rsid w:val="0012665F"/>
    <w:rsid w:val="00133A9A"/>
    <w:rsid w:val="00135AC5"/>
    <w:rsid w:val="00137718"/>
    <w:rsid w:val="0014661E"/>
    <w:rsid w:val="00150DA3"/>
    <w:rsid w:val="00155D7A"/>
    <w:rsid w:val="001629E7"/>
    <w:rsid w:val="00163F1C"/>
    <w:rsid w:val="00165450"/>
    <w:rsid w:val="00170CF0"/>
    <w:rsid w:val="00172B3B"/>
    <w:rsid w:val="00172E9F"/>
    <w:rsid w:val="00177F8C"/>
    <w:rsid w:val="001933E2"/>
    <w:rsid w:val="00195D20"/>
    <w:rsid w:val="0019662F"/>
    <w:rsid w:val="001A1348"/>
    <w:rsid w:val="001A3C5B"/>
    <w:rsid w:val="001A4A42"/>
    <w:rsid w:val="001B1E15"/>
    <w:rsid w:val="001B40AE"/>
    <w:rsid w:val="001B472A"/>
    <w:rsid w:val="001B5EDE"/>
    <w:rsid w:val="001B6963"/>
    <w:rsid w:val="001B6F2D"/>
    <w:rsid w:val="001B74DB"/>
    <w:rsid w:val="001C063A"/>
    <w:rsid w:val="001C6492"/>
    <w:rsid w:val="001C7EC8"/>
    <w:rsid w:val="001C7FC1"/>
    <w:rsid w:val="001D6708"/>
    <w:rsid w:val="001E03AD"/>
    <w:rsid w:val="001F2FE5"/>
    <w:rsid w:val="001F5CF5"/>
    <w:rsid w:val="00202544"/>
    <w:rsid w:val="00206816"/>
    <w:rsid w:val="00212A4F"/>
    <w:rsid w:val="0021530E"/>
    <w:rsid w:val="00215A41"/>
    <w:rsid w:val="00220940"/>
    <w:rsid w:val="002223CC"/>
    <w:rsid w:val="00223A2F"/>
    <w:rsid w:val="00230049"/>
    <w:rsid w:val="00236889"/>
    <w:rsid w:val="002405C3"/>
    <w:rsid w:val="002426BD"/>
    <w:rsid w:val="00244C4B"/>
    <w:rsid w:val="00252D45"/>
    <w:rsid w:val="002551BA"/>
    <w:rsid w:val="00256145"/>
    <w:rsid w:val="00257AFB"/>
    <w:rsid w:val="00267E4A"/>
    <w:rsid w:val="00280BE6"/>
    <w:rsid w:val="002836DB"/>
    <w:rsid w:val="002B00EC"/>
    <w:rsid w:val="002B1A81"/>
    <w:rsid w:val="002B2715"/>
    <w:rsid w:val="002B31B8"/>
    <w:rsid w:val="002B4347"/>
    <w:rsid w:val="002D226E"/>
    <w:rsid w:val="002D4D0E"/>
    <w:rsid w:val="002E59E9"/>
    <w:rsid w:val="002F1C41"/>
    <w:rsid w:val="00301D28"/>
    <w:rsid w:val="00302CC8"/>
    <w:rsid w:val="00304011"/>
    <w:rsid w:val="00304843"/>
    <w:rsid w:val="0030607F"/>
    <w:rsid w:val="00307AF9"/>
    <w:rsid w:val="00323067"/>
    <w:rsid w:val="003311EE"/>
    <w:rsid w:val="00340392"/>
    <w:rsid w:val="00340F08"/>
    <w:rsid w:val="00342C1B"/>
    <w:rsid w:val="003474E0"/>
    <w:rsid w:val="00351594"/>
    <w:rsid w:val="003520D4"/>
    <w:rsid w:val="003539E8"/>
    <w:rsid w:val="00357711"/>
    <w:rsid w:val="00373981"/>
    <w:rsid w:val="003761FC"/>
    <w:rsid w:val="00385593"/>
    <w:rsid w:val="00387DF1"/>
    <w:rsid w:val="00387F5E"/>
    <w:rsid w:val="003A504D"/>
    <w:rsid w:val="003B0AA0"/>
    <w:rsid w:val="003B11B8"/>
    <w:rsid w:val="003C476A"/>
    <w:rsid w:val="003C6006"/>
    <w:rsid w:val="003D0312"/>
    <w:rsid w:val="003D4795"/>
    <w:rsid w:val="003D64CC"/>
    <w:rsid w:val="003F15E2"/>
    <w:rsid w:val="003F21F6"/>
    <w:rsid w:val="003F5A73"/>
    <w:rsid w:val="00405012"/>
    <w:rsid w:val="0040657B"/>
    <w:rsid w:val="00407FBC"/>
    <w:rsid w:val="0041353B"/>
    <w:rsid w:val="00414FA8"/>
    <w:rsid w:val="00423C91"/>
    <w:rsid w:val="00435251"/>
    <w:rsid w:val="00436B08"/>
    <w:rsid w:val="00440725"/>
    <w:rsid w:val="00443D84"/>
    <w:rsid w:val="00446F81"/>
    <w:rsid w:val="004472F2"/>
    <w:rsid w:val="00451FDB"/>
    <w:rsid w:val="004524F4"/>
    <w:rsid w:val="00455195"/>
    <w:rsid w:val="00463444"/>
    <w:rsid w:val="00471D7A"/>
    <w:rsid w:val="00473500"/>
    <w:rsid w:val="00481529"/>
    <w:rsid w:val="00493A4F"/>
    <w:rsid w:val="00497FE6"/>
    <w:rsid w:val="004A02FE"/>
    <w:rsid w:val="004A30AF"/>
    <w:rsid w:val="004A3C47"/>
    <w:rsid w:val="004A3D80"/>
    <w:rsid w:val="004B66C6"/>
    <w:rsid w:val="004C4457"/>
    <w:rsid w:val="004C7946"/>
    <w:rsid w:val="004D0C4A"/>
    <w:rsid w:val="004D0E11"/>
    <w:rsid w:val="004D302C"/>
    <w:rsid w:val="004D6E2A"/>
    <w:rsid w:val="004E42FA"/>
    <w:rsid w:val="004E5C6D"/>
    <w:rsid w:val="004F0BBE"/>
    <w:rsid w:val="004F56AB"/>
    <w:rsid w:val="005057CA"/>
    <w:rsid w:val="00516121"/>
    <w:rsid w:val="00521ED5"/>
    <w:rsid w:val="00523B1A"/>
    <w:rsid w:val="00523C31"/>
    <w:rsid w:val="00537E95"/>
    <w:rsid w:val="005417D5"/>
    <w:rsid w:val="0054528B"/>
    <w:rsid w:val="00550F9F"/>
    <w:rsid w:val="005520BD"/>
    <w:rsid w:val="005551EB"/>
    <w:rsid w:val="0056264D"/>
    <w:rsid w:val="0056359C"/>
    <w:rsid w:val="00567EA4"/>
    <w:rsid w:val="00575614"/>
    <w:rsid w:val="00577089"/>
    <w:rsid w:val="005773A1"/>
    <w:rsid w:val="005837DD"/>
    <w:rsid w:val="00586947"/>
    <w:rsid w:val="005A3F0C"/>
    <w:rsid w:val="005A4250"/>
    <w:rsid w:val="005A4C8A"/>
    <w:rsid w:val="005B1EEE"/>
    <w:rsid w:val="005B3DB3"/>
    <w:rsid w:val="005B5D68"/>
    <w:rsid w:val="005B65EA"/>
    <w:rsid w:val="005D0593"/>
    <w:rsid w:val="005D2F23"/>
    <w:rsid w:val="005D3BA7"/>
    <w:rsid w:val="005D52B1"/>
    <w:rsid w:val="005E5864"/>
    <w:rsid w:val="005F25F5"/>
    <w:rsid w:val="005F5A5A"/>
    <w:rsid w:val="005F5F5F"/>
    <w:rsid w:val="00602406"/>
    <w:rsid w:val="00602CC8"/>
    <w:rsid w:val="00603086"/>
    <w:rsid w:val="006141D5"/>
    <w:rsid w:val="00615051"/>
    <w:rsid w:val="006207B1"/>
    <w:rsid w:val="00621074"/>
    <w:rsid w:val="006312B3"/>
    <w:rsid w:val="00642B41"/>
    <w:rsid w:val="00644D6F"/>
    <w:rsid w:val="00645EF1"/>
    <w:rsid w:val="006501D3"/>
    <w:rsid w:val="00650F07"/>
    <w:rsid w:val="0065201E"/>
    <w:rsid w:val="006520D0"/>
    <w:rsid w:val="00654B87"/>
    <w:rsid w:val="00665C40"/>
    <w:rsid w:val="00672CDF"/>
    <w:rsid w:val="0068106F"/>
    <w:rsid w:val="00685184"/>
    <w:rsid w:val="00686AFE"/>
    <w:rsid w:val="00690DE6"/>
    <w:rsid w:val="006930E2"/>
    <w:rsid w:val="00697F48"/>
    <w:rsid w:val="006A02EC"/>
    <w:rsid w:val="006A044C"/>
    <w:rsid w:val="006A24C8"/>
    <w:rsid w:val="006A3113"/>
    <w:rsid w:val="006B3166"/>
    <w:rsid w:val="006B55CB"/>
    <w:rsid w:val="006B6F9C"/>
    <w:rsid w:val="006C0822"/>
    <w:rsid w:val="006C254E"/>
    <w:rsid w:val="006C6999"/>
    <w:rsid w:val="006C710D"/>
    <w:rsid w:val="006D3B3C"/>
    <w:rsid w:val="006D6E8F"/>
    <w:rsid w:val="006E0EBA"/>
    <w:rsid w:val="006E2F7B"/>
    <w:rsid w:val="006F029E"/>
    <w:rsid w:val="006F56CF"/>
    <w:rsid w:val="006F786B"/>
    <w:rsid w:val="0071043B"/>
    <w:rsid w:val="007112CB"/>
    <w:rsid w:val="00711DA9"/>
    <w:rsid w:val="00720E61"/>
    <w:rsid w:val="0072607A"/>
    <w:rsid w:val="00726C90"/>
    <w:rsid w:val="00731BF6"/>
    <w:rsid w:val="00741F82"/>
    <w:rsid w:val="0074207C"/>
    <w:rsid w:val="00742F0B"/>
    <w:rsid w:val="00746C36"/>
    <w:rsid w:val="0075077E"/>
    <w:rsid w:val="00750D61"/>
    <w:rsid w:val="007517B5"/>
    <w:rsid w:val="00751F54"/>
    <w:rsid w:val="00752280"/>
    <w:rsid w:val="007648D0"/>
    <w:rsid w:val="00770ABD"/>
    <w:rsid w:val="0078092D"/>
    <w:rsid w:val="00783756"/>
    <w:rsid w:val="00791D8F"/>
    <w:rsid w:val="00793D7C"/>
    <w:rsid w:val="007969F4"/>
    <w:rsid w:val="007A3551"/>
    <w:rsid w:val="007A41FE"/>
    <w:rsid w:val="007A4345"/>
    <w:rsid w:val="007A6436"/>
    <w:rsid w:val="007B677D"/>
    <w:rsid w:val="007C6EB7"/>
    <w:rsid w:val="007D40BE"/>
    <w:rsid w:val="007D62EF"/>
    <w:rsid w:val="007D7C71"/>
    <w:rsid w:val="007E0ACD"/>
    <w:rsid w:val="007E1AD2"/>
    <w:rsid w:val="007E58DA"/>
    <w:rsid w:val="007E60CB"/>
    <w:rsid w:val="007E6BAA"/>
    <w:rsid w:val="007E6D50"/>
    <w:rsid w:val="007F3600"/>
    <w:rsid w:val="007F58DE"/>
    <w:rsid w:val="00802402"/>
    <w:rsid w:val="00811C97"/>
    <w:rsid w:val="00812204"/>
    <w:rsid w:val="00814182"/>
    <w:rsid w:val="00815937"/>
    <w:rsid w:val="00816B16"/>
    <w:rsid w:val="0083379A"/>
    <w:rsid w:val="008364C8"/>
    <w:rsid w:val="00852984"/>
    <w:rsid w:val="0085509F"/>
    <w:rsid w:val="00860B39"/>
    <w:rsid w:val="00863792"/>
    <w:rsid w:val="00866582"/>
    <w:rsid w:val="00867E40"/>
    <w:rsid w:val="00867FFA"/>
    <w:rsid w:val="00872A3C"/>
    <w:rsid w:val="0087496C"/>
    <w:rsid w:val="00876B0B"/>
    <w:rsid w:val="00880945"/>
    <w:rsid w:val="00885974"/>
    <w:rsid w:val="008861BA"/>
    <w:rsid w:val="00895795"/>
    <w:rsid w:val="00895DC2"/>
    <w:rsid w:val="008975DF"/>
    <w:rsid w:val="00897C09"/>
    <w:rsid w:val="008A4477"/>
    <w:rsid w:val="008B1934"/>
    <w:rsid w:val="008B2D3B"/>
    <w:rsid w:val="008B340A"/>
    <w:rsid w:val="008B3497"/>
    <w:rsid w:val="008B7434"/>
    <w:rsid w:val="008C018A"/>
    <w:rsid w:val="008C05AF"/>
    <w:rsid w:val="008C3223"/>
    <w:rsid w:val="008C4237"/>
    <w:rsid w:val="008C5C1E"/>
    <w:rsid w:val="008C664A"/>
    <w:rsid w:val="008D1DCC"/>
    <w:rsid w:val="008D20B8"/>
    <w:rsid w:val="008D2926"/>
    <w:rsid w:val="008D6079"/>
    <w:rsid w:val="008D6A96"/>
    <w:rsid w:val="008D6C0B"/>
    <w:rsid w:val="008E0AF2"/>
    <w:rsid w:val="008F542D"/>
    <w:rsid w:val="008F7573"/>
    <w:rsid w:val="008F7C98"/>
    <w:rsid w:val="0090397C"/>
    <w:rsid w:val="009041E3"/>
    <w:rsid w:val="0090517B"/>
    <w:rsid w:val="009079FD"/>
    <w:rsid w:val="00910149"/>
    <w:rsid w:val="00910C22"/>
    <w:rsid w:val="009141A3"/>
    <w:rsid w:val="00915C6E"/>
    <w:rsid w:val="00934202"/>
    <w:rsid w:val="00940172"/>
    <w:rsid w:val="00942A9E"/>
    <w:rsid w:val="009520A2"/>
    <w:rsid w:val="00954336"/>
    <w:rsid w:val="00956662"/>
    <w:rsid w:val="00966EC0"/>
    <w:rsid w:val="0096793B"/>
    <w:rsid w:val="009701D6"/>
    <w:rsid w:val="00974579"/>
    <w:rsid w:val="00977BC3"/>
    <w:rsid w:val="009815E6"/>
    <w:rsid w:val="009818FD"/>
    <w:rsid w:val="00984D9F"/>
    <w:rsid w:val="00993D56"/>
    <w:rsid w:val="00995074"/>
    <w:rsid w:val="009A066C"/>
    <w:rsid w:val="009B07CE"/>
    <w:rsid w:val="009B785C"/>
    <w:rsid w:val="009C087C"/>
    <w:rsid w:val="009C52D1"/>
    <w:rsid w:val="009C73AE"/>
    <w:rsid w:val="009D1912"/>
    <w:rsid w:val="009D1A2C"/>
    <w:rsid w:val="009D246A"/>
    <w:rsid w:val="009E06B1"/>
    <w:rsid w:val="009E0FA9"/>
    <w:rsid w:val="009E5294"/>
    <w:rsid w:val="009F62EC"/>
    <w:rsid w:val="009F759C"/>
    <w:rsid w:val="009F7B29"/>
    <w:rsid w:val="00A01BD5"/>
    <w:rsid w:val="00A02A0D"/>
    <w:rsid w:val="00A0623D"/>
    <w:rsid w:val="00A07882"/>
    <w:rsid w:val="00A12D4D"/>
    <w:rsid w:val="00A137D8"/>
    <w:rsid w:val="00A15D09"/>
    <w:rsid w:val="00A170A4"/>
    <w:rsid w:val="00A17650"/>
    <w:rsid w:val="00A17A3A"/>
    <w:rsid w:val="00A23C7D"/>
    <w:rsid w:val="00A318B0"/>
    <w:rsid w:val="00A332BA"/>
    <w:rsid w:val="00A33632"/>
    <w:rsid w:val="00A3505D"/>
    <w:rsid w:val="00A440FD"/>
    <w:rsid w:val="00A54288"/>
    <w:rsid w:val="00A55464"/>
    <w:rsid w:val="00A60820"/>
    <w:rsid w:val="00A6740B"/>
    <w:rsid w:val="00A828D7"/>
    <w:rsid w:val="00A85DB0"/>
    <w:rsid w:val="00A87BD2"/>
    <w:rsid w:val="00A93772"/>
    <w:rsid w:val="00A93A15"/>
    <w:rsid w:val="00A96AD9"/>
    <w:rsid w:val="00AA4C5D"/>
    <w:rsid w:val="00AB4BD0"/>
    <w:rsid w:val="00AB5905"/>
    <w:rsid w:val="00AB66C2"/>
    <w:rsid w:val="00AC046C"/>
    <w:rsid w:val="00AC1DF2"/>
    <w:rsid w:val="00AE16D3"/>
    <w:rsid w:val="00AF2E0D"/>
    <w:rsid w:val="00AF2F8E"/>
    <w:rsid w:val="00AF3AE0"/>
    <w:rsid w:val="00B0506D"/>
    <w:rsid w:val="00B0624E"/>
    <w:rsid w:val="00B14100"/>
    <w:rsid w:val="00B151AC"/>
    <w:rsid w:val="00B25E60"/>
    <w:rsid w:val="00B31A58"/>
    <w:rsid w:val="00B31D3F"/>
    <w:rsid w:val="00B32576"/>
    <w:rsid w:val="00B366CC"/>
    <w:rsid w:val="00B3671E"/>
    <w:rsid w:val="00B40E13"/>
    <w:rsid w:val="00B45273"/>
    <w:rsid w:val="00B46FD6"/>
    <w:rsid w:val="00B533DE"/>
    <w:rsid w:val="00B57010"/>
    <w:rsid w:val="00B62C0B"/>
    <w:rsid w:val="00B64C3D"/>
    <w:rsid w:val="00B65014"/>
    <w:rsid w:val="00B67CE9"/>
    <w:rsid w:val="00B71E61"/>
    <w:rsid w:val="00B725FC"/>
    <w:rsid w:val="00B72B5F"/>
    <w:rsid w:val="00B745C8"/>
    <w:rsid w:val="00B74AD0"/>
    <w:rsid w:val="00B756D7"/>
    <w:rsid w:val="00B7683A"/>
    <w:rsid w:val="00BA64B2"/>
    <w:rsid w:val="00BB1242"/>
    <w:rsid w:val="00BB2104"/>
    <w:rsid w:val="00BC07D1"/>
    <w:rsid w:val="00BC405B"/>
    <w:rsid w:val="00BD6381"/>
    <w:rsid w:val="00BD7C35"/>
    <w:rsid w:val="00BE2206"/>
    <w:rsid w:val="00BF30A8"/>
    <w:rsid w:val="00BF36F9"/>
    <w:rsid w:val="00BF5E8B"/>
    <w:rsid w:val="00C01B40"/>
    <w:rsid w:val="00C04770"/>
    <w:rsid w:val="00C05721"/>
    <w:rsid w:val="00C106F4"/>
    <w:rsid w:val="00C12DD8"/>
    <w:rsid w:val="00C13006"/>
    <w:rsid w:val="00C32E6E"/>
    <w:rsid w:val="00C42CF8"/>
    <w:rsid w:val="00C544EA"/>
    <w:rsid w:val="00C60665"/>
    <w:rsid w:val="00C60D91"/>
    <w:rsid w:val="00C61BAC"/>
    <w:rsid w:val="00C660F1"/>
    <w:rsid w:val="00C808AB"/>
    <w:rsid w:val="00C81D16"/>
    <w:rsid w:val="00C84F73"/>
    <w:rsid w:val="00C8619B"/>
    <w:rsid w:val="00C865B1"/>
    <w:rsid w:val="00C921DF"/>
    <w:rsid w:val="00C92E2C"/>
    <w:rsid w:val="00C93263"/>
    <w:rsid w:val="00CA4B90"/>
    <w:rsid w:val="00CA4ED3"/>
    <w:rsid w:val="00CA6BA0"/>
    <w:rsid w:val="00CB1C39"/>
    <w:rsid w:val="00CC30D5"/>
    <w:rsid w:val="00CD0791"/>
    <w:rsid w:val="00CD3B7C"/>
    <w:rsid w:val="00CE20E4"/>
    <w:rsid w:val="00CF3A95"/>
    <w:rsid w:val="00CF3B68"/>
    <w:rsid w:val="00CF4342"/>
    <w:rsid w:val="00CF5C4E"/>
    <w:rsid w:val="00D00702"/>
    <w:rsid w:val="00D022DF"/>
    <w:rsid w:val="00D17673"/>
    <w:rsid w:val="00D266B2"/>
    <w:rsid w:val="00D27F1D"/>
    <w:rsid w:val="00D37586"/>
    <w:rsid w:val="00D52E34"/>
    <w:rsid w:val="00D63D5B"/>
    <w:rsid w:val="00D66085"/>
    <w:rsid w:val="00D71074"/>
    <w:rsid w:val="00D72017"/>
    <w:rsid w:val="00D73AA9"/>
    <w:rsid w:val="00D75A47"/>
    <w:rsid w:val="00D7736D"/>
    <w:rsid w:val="00D7756A"/>
    <w:rsid w:val="00D80A51"/>
    <w:rsid w:val="00D80D47"/>
    <w:rsid w:val="00D824ED"/>
    <w:rsid w:val="00D82E96"/>
    <w:rsid w:val="00D83CC4"/>
    <w:rsid w:val="00D83F53"/>
    <w:rsid w:val="00D8714F"/>
    <w:rsid w:val="00D91956"/>
    <w:rsid w:val="00D91A67"/>
    <w:rsid w:val="00D94C3D"/>
    <w:rsid w:val="00D9665F"/>
    <w:rsid w:val="00DA07D9"/>
    <w:rsid w:val="00DA093C"/>
    <w:rsid w:val="00DA3AA7"/>
    <w:rsid w:val="00DB1DB4"/>
    <w:rsid w:val="00DB5DDE"/>
    <w:rsid w:val="00DC1A40"/>
    <w:rsid w:val="00DC22FA"/>
    <w:rsid w:val="00DC760A"/>
    <w:rsid w:val="00DD0D94"/>
    <w:rsid w:val="00DD3FCD"/>
    <w:rsid w:val="00DD69A5"/>
    <w:rsid w:val="00DE1D6F"/>
    <w:rsid w:val="00DF03BC"/>
    <w:rsid w:val="00DF054D"/>
    <w:rsid w:val="00DF0FA2"/>
    <w:rsid w:val="00E15F27"/>
    <w:rsid w:val="00E17B0C"/>
    <w:rsid w:val="00E21B82"/>
    <w:rsid w:val="00E2639E"/>
    <w:rsid w:val="00E36A03"/>
    <w:rsid w:val="00E37B6E"/>
    <w:rsid w:val="00E407A4"/>
    <w:rsid w:val="00E41FF1"/>
    <w:rsid w:val="00E44537"/>
    <w:rsid w:val="00E47EF7"/>
    <w:rsid w:val="00E610C7"/>
    <w:rsid w:val="00E61218"/>
    <w:rsid w:val="00E67E52"/>
    <w:rsid w:val="00E70F5F"/>
    <w:rsid w:val="00E71963"/>
    <w:rsid w:val="00E73069"/>
    <w:rsid w:val="00E77299"/>
    <w:rsid w:val="00E77E28"/>
    <w:rsid w:val="00E80355"/>
    <w:rsid w:val="00E80F60"/>
    <w:rsid w:val="00E81CF8"/>
    <w:rsid w:val="00E838C6"/>
    <w:rsid w:val="00E8759A"/>
    <w:rsid w:val="00E879FB"/>
    <w:rsid w:val="00E92BDD"/>
    <w:rsid w:val="00E93BEC"/>
    <w:rsid w:val="00E94A64"/>
    <w:rsid w:val="00E95D93"/>
    <w:rsid w:val="00EA76ED"/>
    <w:rsid w:val="00EB1B5A"/>
    <w:rsid w:val="00EB34F1"/>
    <w:rsid w:val="00EC234D"/>
    <w:rsid w:val="00EC66FC"/>
    <w:rsid w:val="00ED08A5"/>
    <w:rsid w:val="00ED2A7D"/>
    <w:rsid w:val="00EE2C9D"/>
    <w:rsid w:val="00EF218B"/>
    <w:rsid w:val="00F02736"/>
    <w:rsid w:val="00F03CDE"/>
    <w:rsid w:val="00F04ED3"/>
    <w:rsid w:val="00F04F79"/>
    <w:rsid w:val="00F1386E"/>
    <w:rsid w:val="00F1437B"/>
    <w:rsid w:val="00F24D11"/>
    <w:rsid w:val="00F308D2"/>
    <w:rsid w:val="00F4410A"/>
    <w:rsid w:val="00F5199E"/>
    <w:rsid w:val="00F51A1F"/>
    <w:rsid w:val="00F52F7A"/>
    <w:rsid w:val="00F57739"/>
    <w:rsid w:val="00F63DCA"/>
    <w:rsid w:val="00F64E07"/>
    <w:rsid w:val="00F65D75"/>
    <w:rsid w:val="00F70517"/>
    <w:rsid w:val="00F70531"/>
    <w:rsid w:val="00F73402"/>
    <w:rsid w:val="00F746E9"/>
    <w:rsid w:val="00F74D4B"/>
    <w:rsid w:val="00F81C5C"/>
    <w:rsid w:val="00F84F6B"/>
    <w:rsid w:val="00F912B4"/>
    <w:rsid w:val="00F941D3"/>
    <w:rsid w:val="00F96523"/>
    <w:rsid w:val="00FA1F87"/>
    <w:rsid w:val="00FB1B2C"/>
    <w:rsid w:val="00FB5734"/>
    <w:rsid w:val="00FB7BBC"/>
    <w:rsid w:val="00FC3045"/>
    <w:rsid w:val="00FC6A3C"/>
    <w:rsid w:val="00FE1C92"/>
    <w:rsid w:val="00FF5054"/>
    <w:rsid w:val="00FF5ED7"/>
    <w:rsid w:val="00FF6064"/>
    <w:rsid w:val="00FF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b5e91,#c6d4e8"/>
    </o:shapedefaults>
    <o:shapelayout v:ext="edit">
      <o:idmap v:ext="edit" data="1"/>
    </o:shapelayout>
  </w:shapeDefaults>
  <w:decimalSymbol w:val="."/>
  <w:listSeparator w:val=","/>
  <w14:docId w14:val="1CD621AC"/>
  <w15:docId w15:val="{5AD426C0-D597-4424-B870-98BD8A81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D9"/>
    <w:pPr>
      <w:spacing w:line="264" w:lineRule="auto"/>
    </w:pPr>
    <w:rPr>
      <w:rFonts w:ascii="Trebuchet MS" w:hAnsi="Trebuchet MS"/>
      <w:spacing w:val="4"/>
      <w:sz w:val="17"/>
      <w:szCs w:val="18"/>
      <w:lang w:val="en-US" w:eastAsia="en-US"/>
    </w:rPr>
  </w:style>
  <w:style w:type="paragraph" w:styleId="Heading1">
    <w:name w:val="heading 1"/>
    <w:basedOn w:val="Normal"/>
    <w:next w:val="Normal"/>
    <w:link w:val="Heading1Char"/>
    <w:uiPriority w:val="9"/>
    <w:qFormat/>
    <w:rsid w:val="00DA07D9"/>
    <w:pPr>
      <w:spacing w:line="240" w:lineRule="auto"/>
      <w:jc w:val="right"/>
      <w:outlineLvl w:val="0"/>
    </w:pPr>
    <w:rPr>
      <w:b/>
      <w:color w:val="3B5E91"/>
      <w:sz w:val="40"/>
    </w:rPr>
  </w:style>
  <w:style w:type="paragraph" w:styleId="Heading2">
    <w:name w:val="heading 2"/>
    <w:basedOn w:val="Normal"/>
    <w:next w:val="Normal"/>
    <w:qFormat/>
    <w:rsid w:val="00DA07D9"/>
    <w:pPr>
      <w:spacing w:before="20" w:line="240" w:lineRule="auto"/>
      <w:outlineLvl w:val="1"/>
    </w:pPr>
    <w:rPr>
      <w:b/>
      <w:caps/>
      <w:sz w:val="15"/>
      <w:szCs w:val="16"/>
    </w:rPr>
  </w:style>
  <w:style w:type="paragraph" w:styleId="Heading3">
    <w:name w:val="heading 3"/>
    <w:basedOn w:val="Normal"/>
    <w:next w:val="Normal"/>
    <w:link w:val="Heading3Char"/>
    <w:uiPriority w:val="9"/>
    <w:qFormat/>
    <w:rsid w:val="00DA07D9"/>
    <w:pPr>
      <w:outlineLvl w:val="2"/>
    </w:pPr>
    <w:rPr>
      <w:i/>
      <w:sz w:val="15"/>
    </w:rPr>
  </w:style>
  <w:style w:type="paragraph" w:styleId="Heading4">
    <w:name w:val="heading 4"/>
    <w:basedOn w:val="Normal"/>
    <w:next w:val="Normal"/>
    <w:qFormat/>
    <w:rsid w:val="00DA07D9"/>
    <w:pPr>
      <w:keepNext/>
      <w:outlineLvl w:val="3"/>
    </w:pPr>
    <w:rPr>
      <w:rFonts w:ascii="Times New Roman" w:hAnsi="Times New Roman"/>
      <w:b/>
      <w:bCs/>
      <w:sz w:val="22"/>
    </w:rPr>
  </w:style>
  <w:style w:type="paragraph" w:styleId="Heading5">
    <w:name w:val="heading 5"/>
    <w:basedOn w:val="Normal"/>
    <w:next w:val="Normal"/>
    <w:qFormat/>
    <w:rsid w:val="00DA07D9"/>
    <w:pPr>
      <w:keepNext/>
      <w:jc w:val="center"/>
      <w:outlineLvl w:val="4"/>
    </w:pPr>
    <w:rPr>
      <w:sz w:val="96"/>
      <w:lang w:val="en-GB"/>
    </w:rPr>
  </w:style>
  <w:style w:type="paragraph" w:styleId="Heading6">
    <w:name w:val="heading 6"/>
    <w:basedOn w:val="Normal"/>
    <w:next w:val="Normal"/>
    <w:qFormat/>
    <w:rsid w:val="00DA07D9"/>
    <w:pPr>
      <w:keepNext/>
      <w:spacing w:line="240" w:lineRule="auto"/>
      <w:jc w:val="center"/>
      <w:outlineLvl w:val="5"/>
    </w:pPr>
    <w:rPr>
      <w:rFonts w:ascii="Times New Roman" w:hAnsi="Times New Roman"/>
      <w:b/>
      <w:color w:val="008080"/>
      <w:spacing w:val="0"/>
      <w:sz w:val="24"/>
      <w:szCs w:val="40"/>
    </w:rPr>
  </w:style>
  <w:style w:type="paragraph" w:styleId="Heading7">
    <w:name w:val="heading 7"/>
    <w:basedOn w:val="Normal"/>
    <w:next w:val="Normal"/>
    <w:qFormat/>
    <w:rsid w:val="00DA07D9"/>
    <w:pPr>
      <w:keepNext/>
      <w:outlineLvl w:val="6"/>
    </w:pPr>
    <w:rPr>
      <w:rFonts w:ascii="Times New Roman" w:hAnsi="Times New Roman"/>
      <w:b/>
      <w:bCs/>
      <w:color w:val="3399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DA07D9"/>
    <w:rPr>
      <w:rFonts w:ascii="Trebuchet MS" w:hAnsi="Trebuchet MS"/>
      <w:b/>
      <w:caps/>
      <w:spacing w:val="4"/>
      <w:sz w:val="15"/>
      <w:szCs w:val="16"/>
      <w:lang w:val="en-US" w:eastAsia="en-US" w:bidi="ar-SA"/>
    </w:rPr>
  </w:style>
  <w:style w:type="paragraph" w:styleId="BalloonText">
    <w:name w:val="Balloon Text"/>
    <w:basedOn w:val="Normal"/>
    <w:semiHidden/>
    <w:rsid w:val="00DA07D9"/>
    <w:rPr>
      <w:rFonts w:ascii="Tahoma" w:hAnsi="Tahoma" w:cs="Tahoma"/>
      <w:sz w:val="16"/>
      <w:szCs w:val="16"/>
    </w:rPr>
  </w:style>
  <w:style w:type="paragraph" w:styleId="Header">
    <w:name w:val="header"/>
    <w:basedOn w:val="Normal"/>
    <w:link w:val="HeaderChar"/>
    <w:uiPriority w:val="99"/>
    <w:rsid w:val="00DA07D9"/>
    <w:pPr>
      <w:tabs>
        <w:tab w:val="center" w:pos="4320"/>
        <w:tab w:val="right" w:pos="8640"/>
      </w:tabs>
    </w:pPr>
  </w:style>
  <w:style w:type="paragraph" w:customStyle="1" w:styleId="DateandNumber">
    <w:name w:val="Date and Number"/>
    <w:basedOn w:val="Normal"/>
    <w:rsid w:val="00DA07D9"/>
    <w:pPr>
      <w:jc w:val="right"/>
    </w:pPr>
    <w:rPr>
      <w:caps/>
      <w:sz w:val="16"/>
      <w:szCs w:val="16"/>
    </w:rPr>
  </w:style>
  <w:style w:type="character" w:styleId="CommentReference">
    <w:name w:val="annotation reference"/>
    <w:semiHidden/>
    <w:rsid w:val="00DA07D9"/>
    <w:rPr>
      <w:sz w:val="16"/>
      <w:szCs w:val="16"/>
    </w:rPr>
  </w:style>
  <w:style w:type="paragraph" w:styleId="CommentText">
    <w:name w:val="annotation text"/>
    <w:basedOn w:val="Normal"/>
    <w:semiHidden/>
    <w:rsid w:val="00DA07D9"/>
    <w:rPr>
      <w:sz w:val="20"/>
      <w:szCs w:val="20"/>
    </w:rPr>
  </w:style>
  <w:style w:type="paragraph" w:styleId="CommentSubject">
    <w:name w:val="annotation subject"/>
    <w:basedOn w:val="CommentText"/>
    <w:next w:val="CommentText"/>
    <w:semiHidden/>
    <w:rsid w:val="00DA07D9"/>
    <w:rPr>
      <w:b/>
      <w:bCs/>
    </w:rPr>
  </w:style>
  <w:style w:type="paragraph" w:customStyle="1" w:styleId="Name">
    <w:name w:val="Name"/>
    <w:basedOn w:val="Normal"/>
    <w:rsid w:val="00DA07D9"/>
    <w:pPr>
      <w:spacing w:line="240" w:lineRule="auto"/>
    </w:pPr>
    <w:rPr>
      <w:b/>
      <w:sz w:val="24"/>
    </w:rPr>
  </w:style>
  <w:style w:type="paragraph" w:customStyle="1" w:styleId="Slogan">
    <w:name w:val="Slogan"/>
    <w:basedOn w:val="Heading3"/>
    <w:rsid w:val="00DA07D9"/>
    <w:pPr>
      <w:spacing w:before="60" w:line="240" w:lineRule="auto"/>
    </w:pPr>
  </w:style>
  <w:style w:type="paragraph" w:customStyle="1" w:styleId="Amount">
    <w:name w:val="Amount"/>
    <w:basedOn w:val="Normal"/>
    <w:rsid w:val="00DA07D9"/>
    <w:pPr>
      <w:jc w:val="right"/>
    </w:pPr>
    <w:rPr>
      <w:szCs w:val="20"/>
    </w:rPr>
  </w:style>
  <w:style w:type="paragraph" w:customStyle="1" w:styleId="Thankyou">
    <w:name w:val="Thank you"/>
    <w:basedOn w:val="ColumnHeadings"/>
    <w:rsid w:val="00DA07D9"/>
    <w:rPr>
      <w:sz w:val="19"/>
    </w:rPr>
  </w:style>
  <w:style w:type="paragraph" w:customStyle="1" w:styleId="ColumnHeadings">
    <w:name w:val="Column Headings"/>
    <w:basedOn w:val="Heading2"/>
    <w:rsid w:val="00DA07D9"/>
    <w:pPr>
      <w:jc w:val="center"/>
    </w:pPr>
  </w:style>
  <w:style w:type="paragraph" w:customStyle="1" w:styleId="Centered">
    <w:name w:val="Centered"/>
    <w:basedOn w:val="Normal"/>
    <w:rsid w:val="00DA07D9"/>
    <w:pPr>
      <w:spacing w:line="240" w:lineRule="auto"/>
      <w:jc w:val="center"/>
    </w:pPr>
  </w:style>
  <w:style w:type="paragraph" w:customStyle="1" w:styleId="Labels">
    <w:name w:val="Labels"/>
    <w:basedOn w:val="Heading2"/>
    <w:rsid w:val="00DA07D9"/>
    <w:pPr>
      <w:jc w:val="right"/>
    </w:pPr>
  </w:style>
  <w:style w:type="paragraph" w:styleId="Footer">
    <w:name w:val="footer"/>
    <w:basedOn w:val="Normal"/>
    <w:link w:val="FooterChar"/>
    <w:uiPriority w:val="99"/>
    <w:rsid w:val="00DA07D9"/>
    <w:pPr>
      <w:tabs>
        <w:tab w:val="center" w:pos="4320"/>
        <w:tab w:val="right" w:pos="8640"/>
      </w:tabs>
    </w:pPr>
  </w:style>
  <w:style w:type="paragraph" w:customStyle="1" w:styleId="lowercenteredtext">
    <w:name w:val="lower centered text"/>
    <w:basedOn w:val="Centered"/>
    <w:rsid w:val="00DA07D9"/>
    <w:pPr>
      <w:spacing w:before="1240" w:line="264" w:lineRule="auto"/>
    </w:pPr>
    <w:rPr>
      <w:szCs w:val="20"/>
    </w:rPr>
  </w:style>
  <w:style w:type="paragraph" w:styleId="BodyTextIndent">
    <w:name w:val="Body Text Indent"/>
    <w:basedOn w:val="Normal"/>
    <w:semiHidden/>
    <w:rsid w:val="00DA07D9"/>
    <w:pPr>
      <w:ind w:left="717"/>
    </w:pPr>
    <w:rPr>
      <w:rFonts w:ascii="Arial" w:hAnsi="Arial" w:cs="Arial"/>
      <w:sz w:val="22"/>
    </w:rPr>
  </w:style>
  <w:style w:type="paragraph" w:styleId="NormalWeb">
    <w:name w:val="Normal (Web)"/>
    <w:basedOn w:val="Normal"/>
    <w:uiPriority w:val="99"/>
    <w:semiHidden/>
    <w:rsid w:val="00DA07D9"/>
    <w:pPr>
      <w:spacing w:before="100" w:beforeAutospacing="1" w:after="100" w:afterAutospacing="1" w:line="240" w:lineRule="auto"/>
    </w:pPr>
    <w:rPr>
      <w:rFonts w:ascii="Times New Roman" w:hAnsi="Times New Roman"/>
      <w:spacing w:val="0"/>
      <w:sz w:val="24"/>
      <w:szCs w:val="24"/>
      <w:lang w:val="en-GB" w:eastAsia="en-GB"/>
    </w:rPr>
  </w:style>
  <w:style w:type="character" w:styleId="Hyperlink">
    <w:name w:val="Hyperlink"/>
    <w:semiHidden/>
    <w:rsid w:val="00DA07D9"/>
    <w:rPr>
      <w:color w:val="0000FF"/>
      <w:u w:val="single"/>
    </w:rPr>
  </w:style>
  <w:style w:type="character" w:styleId="PageNumber">
    <w:name w:val="page number"/>
    <w:basedOn w:val="DefaultParagraphFont"/>
    <w:semiHidden/>
    <w:rsid w:val="00DA07D9"/>
  </w:style>
  <w:style w:type="paragraph" w:styleId="ListBullet2">
    <w:name w:val="List Bullet 2"/>
    <w:basedOn w:val="Normal"/>
    <w:autoRedefine/>
    <w:semiHidden/>
    <w:rsid w:val="00DA07D9"/>
    <w:pPr>
      <w:spacing w:line="240" w:lineRule="auto"/>
    </w:pPr>
    <w:rPr>
      <w:rFonts w:ascii="Times New Roman" w:hAnsi="Times New Roman"/>
      <w:spacing w:val="0"/>
      <w:sz w:val="22"/>
      <w:szCs w:val="24"/>
      <w:lang w:val="en-GB"/>
    </w:rPr>
  </w:style>
  <w:style w:type="paragraph" w:styleId="BodyText">
    <w:name w:val="Body Text"/>
    <w:basedOn w:val="Normal"/>
    <w:semiHidden/>
    <w:rsid w:val="00DA07D9"/>
    <w:pPr>
      <w:spacing w:after="120" w:line="240" w:lineRule="auto"/>
    </w:pPr>
    <w:rPr>
      <w:rFonts w:ascii="Times New Roman" w:hAnsi="Times New Roman"/>
      <w:spacing w:val="0"/>
      <w:sz w:val="24"/>
      <w:szCs w:val="24"/>
      <w:lang w:val="en-GB"/>
    </w:rPr>
  </w:style>
  <w:style w:type="paragraph" w:styleId="BodyText2">
    <w:name w:val="Body Text 2"/>
    <w:basedOn w:val="Normal"/>
    <w:semiHidden/>
    <w:rsid w:val="00DA07D9"/>
    <w:pPr>
      <w:jc w:val="center"/>
    </w:pPr>
    <w:rPr>
      <w:color w:val="C0C0C0"/>
      <w:sz w:val="96"/>
      <w:lang w:val="en-GB"/>
    </w:rPr>
  </w:style>
  <w:style w:type="paragraph" w:styleId="Caption">
    <w:name w:val="caption"/>
    <w:basedOn w:val="Normal"/>
    <w:next w:val="Normal"/>
    <w:qFormat/>
    <w:rsid w:val="00DA07D9"/>
    <w:rPr>
      <w:rFonts w:ascii="Times New Roman" w:hAnsi="Times New Roman"/>
      <w:b/>
      <w:bCs/>
      <w:sz w:val="22"/>
    </w:rPr>
  </w:style>
  <w:style w:type="paragraph" w:styleId="BodyText3">
    <w:name w:val="Body Text 3"/>
    <w:basedOn w:val="Normal"/>
    <w:semiHidden/>
    <w:rsid w:val="00DA07D9"/>
    <w:rPr>
      <w:rFonts w:ascii="Times New Roman" w:hAnsi="Times New Roman"/>
      <w:b/>
      <w:bCs/>
      <w:sz w:val="22"/>
    </w:rPr>
  </w:style>
  <w:style w:type="character" w:customStyle="1" w:styleId="HeaderChar">
    <w:name w:val="Header Char"/>
    <w:link w:val="Header"/>
    <w:uiPriority w:val="99"/>
    <w:rsid w:val="00030CED"/>
    <w:rPr>
      <w:rFonts w:ascii="Trebuchet MS" w:hAnsi="Trebuchet MS"/>
      <w:spacing w:val="4"/>
      <w:sz w:val="17"/>
      <w:szCs w:val="18"/>
      <w:lang w:val="en-US" w:eastAsia="en-US"/>
    </w:rPr>
  </w:style>
  <w:style w:type="paragraph" w:customStyle="1" w:styleId="FooterBottom">
    <w:name w:val="Footer Bottom"/>
    <w:basedOn w:val="Normal"/>
    <w:next w:val="Footer"/>
    <w:qFormat/>
    <w:rsid w:val="00030CED"/>
    <w:pPr>
      <w:spacing w:line="240" w:lineRule="auto"/>
      <w:jc w:val="center"/>
    </w:pPr>
    <w:rPr>
      <w:rFonts w:ascii="Arial Narrow" w:hAnsi="Arial Narrow" w:cs="Arial"/>
      <w:color w:val="0000FF"/>
      <w:spacing w:val="0"/>
      <w:sz w:val="18"/>
      <w:lang w:val="en-GB"/>
    </w:rPr>
  </w:style>
  <w:style w:type="character" w:customStyle="1" w:styleId="Heading1Char">
    <w:name w:val="Heading 1 Char"/>
    <w:link w:val="Heading1"/>
    <w:uiPriority w:val="9"/>
    <w:rsid w:val="00F51A1F"/>
    <w:rPr>
      <w:rFonts w:ascii="Trebuchet MS" w:hAnsi="Trebuchet MS"/>
      <w:b/>
      <w:color w:val="3B5E91"/>
      <w:spacing w:val="4"/>
      <w:sz w:val="40"/>
      <w:szCs w:val="18"/>
      <w:lang w:val="en-US" w:eastAsia="en-US"/>
    </w:rPr>
  </w:style>
  <w:style w:type="character" w:customStyle="1" w:styleId="Heading3Char">
    <w:name w:val="Heading 3 Char"/>
    <w:link w:val="Heading3"/>
    <w:uiPriority w:val="9"/>
    <w:rsid w:val="00F51A1F"/>
    <w:rPr>
      <w:rFonts w:ascii="Trebuchet MS" w:hAnsi="Trebuchet MS"/>
      <w:i/>
      <w:spacing w:val="4"/>
      <w:sz w:val="15"/>
      <w:szCs w:val="18"/>
      <w:lang w:val="en-US" w:eastAsia="en-US"/>
    </w:rPr>
  </w:style>
  <w:style w:type="paragraph" w:styleId="ListParagraph">
    <w:name w:val="List Paragraph"/>
    <w:aliases w:val="Table Text,List Paragraph_Table text,Table text,List Paragraph1,Table text + Justified,L....,EiB Main bullet"/>
    <w:basedOn w:val="Normal"/>
    <w:link w:val="ListParagraphChar"/>
    <w:uiPriority w:val="34"/>
    <w:qFormat/>
    <w:rsid w:val="00163F1C"/>
    <w:pPr>
      <w:ind w:left="720"/>
      <w:contextualSpacing/>
    </w:pPr>
  </w:style>
  <w:style w:type="paragraph" w:styleId="DocumentMap">
    <w:name w:val="Document Map"/>
    <w:basedOn w:val="Normal"/>
    <w:semiHidden/>
    <w:rsid w:val="00E92BDD"/>
    <w:pPr>
      <w:shd w:val="clear" w:color="auto" w:fill="000080"/>
    </w:pPr>
    <w:rPr>
      <w:rFonts w:ascii="Tahoma" w:hAnsi="Tahoma" w:cs="Tahoma"/>
      <w:sz w:val="20"/>
      <w:szCs w:val="20"/>
    </w:rPr>
  </w:style>
  <w:style w:type="character" w:customStyle="1" w:styleId="FooterChar">
    <w:name w:val="Footer Char"/>
    <w:link w:val="Footer"/>
    <w:uiPriority w:val="99"/>
    <w:rsid w:val="00A12D4D"/>
    <w:rPr>
      <w:rFonts w:ascii="Trebuchet MS" w:hAnsi="Trebuchet MS"/>
      <w:spacing w:val="4"/>
      <w:sz w:val="17"/>
      <w:szCs w:val="18"/>
      <w:lang w:val="en-US" w:eastAsia="en-US"/>
    </w:rPr>
  </w:style>
  <w:style w:type="character" w:customStyle="1" w:styleId="ListParagraphChar">
    <w:name w:val="List Paragraph Char"/>
    <w:aliases w:val="Table Text Char,List Paragraph_Table text Char,Table text Char,List Paragraph1 Char,Table text + Justified Char,L.... Char,EiB Main bullet Char"/>
    <w:link w:val="ListParagraph"/>
    <w:uiPriority w:val="34"/>
    <w:locked/>
    <w:rsid w:val="00CE20E4"/>
    <w:rPr>
      <w:rFonts w:ascii="Trebuchet MS" w:hAnsi="Trebuchet MS"/>
      <w:spacing w:val="4"/>
      <w:sz w:val="17"/>
      <w:szCs w:val="18"/>
      <w:lang w:val="en-US" w:eastAsia="en-US"/>
    </w:rPr>
  </w:style>
  <w:style w:type="table" w:styleId="TableGrid">
    <w:name w:val="Table Grid"/>
    <w:basedOn w:val="TableNormal"/>
    <w:rsid w:val="00BF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5E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BF5E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semiHidden/>
    <w:unhideWhenUsed/>
    <w:rsid w:val="001B6963"/>
    <w:rPr>
      <w:color w:val="2B579A"/>
      <w:shd w:val="clear" w:color="auto" w:fill="E6E6E6"/>
    </w:rPr>
  </w:style>
  <w:style w:type="character" w:styleId="Strong">
    <w:name w:val="Strong"/>
    <w:basedOn w:val="DefaultParagraphFont"/>
    <w:uiPriority w:val="22"/>
    <w:qFormat/>
    <w:rsid w:val="0071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668">
      <w:bodyDiv w:val="1"/>
      <w:marLeft w:val="0"/>
      <w:marRight w:val="0"/>
      <w:marTop w:val="0"/>
      <w:marBottom w:val="0"/>
      <w:divBdr>
        <w:top w:val="none" w:sz="0" w:space="0" w:color="auto"/>
        <w:left w:val="none" w:sz="0" w:space="0" w:color="auto"/>
        <w:bottom w:val="none" w:sz="0" w:space="0" w:color="auto"/>
        <w:right w:val="none" w:sz="0" w:space="0" w:color="auto"/>
      </w:divBdr>
    </w:div>
    <w:div w:id="386033956">
      <w:bodyDiv w:val="1"/>
      <w:marLeft w:val="0"/>
      <w:marRight w:val="0"/>
      <w:marTop w:val="0"/>
      <w:marBottom w:val="0"/>
      <w:divBdr>
        <w:top w:val="none" w:sz="0" w:space="0" w:color="auto"/>
        <w:left w:val="none" w:sz="0" w:space="0" w:color="auto"/>
        <w:bottom w:val="none" w:sz="0" w:space="0" w:color="auto"/>
        <w:right w:val="none" w:sz="0" w:space="0" w:color="auto"/>
      </w:divBdr>
    </w:div>
    <w:div w:id="504127224">
      <w:bodyDiv w:val="1"/>
      <w:marLeft w:val="0"/>
      <w:marRight w:val="0"/>
      <w:marTop w:val="0"/>
      <w:marBottom w:val="0"/>
      <w:divBdr>
        <w:top w:val="none" w:sz="0" w:space="0" w:color="auto"/>
        <w:left w:val="none" w:sz="0" w:space="0" w:color="auto"/>
        <w:bottom w:val="none" w:sz="0" w:space="0" w:color="auto"/>
        <w:right w:val="none" w:sz="0" w:space="0" w:color="auto"/>
      </w:divBdr>
    </w:div>
    <w:div w:id="782699422">
      <w:bodyDiv w:val="1"/>
      <w:marLeft w:val="0"/>
      <w:marRight w:val="0"/>
      <w:marTop w:val="0"/>
      <w:marBottom w:val="0"/>
      <w:divBdr>
        <w:top w:val="none" w:sz="0" w:space="0" w:color="auto"/>
        <w:left w:val="none" w:sz="0" w:space="0" w:color="auto"/>
        <w:bottom w:val="none" w:sz="0" w:space="0" w:color="auto"/>
        <w:right w:val="none" w:sz="0" w:space="0" w:color="auto"/>
      </w:divBdr>
    </w:div>
    <w:div w:id="867763909">
      <w:bodyDiv w:val="1"/>
      <w:marLeft w:val="0"/>
      <w:marRight w:val="0"/>
      <w:marTop w:val="0"/>
      <w:marBottom w:val="0"/>
      <w:divBdr>
        <w:top w:val="none" w:sz="0" w:space="0" w:color="auto"/>
        <w:left w:val="none" w:sz="0" w:space="0" w:color="auto"/>
        <w:bottom w:val="none" w:sz="0" w:space="0" w:color="auto"/>
        <w:right w:val="none" w:sz="0" w:space="0" w:color="auto"/>
      </w:divBdr>
    </w:div>
    <w:div w:id="1382825095">
      <w:bodyDiv w:val="1"/>
      <w:marLeft w:val="0"/>
      <w:marRight w:val="0"/>
      <w:marTop w:val="0"/>
      <w:marBottom w:val="0"/>
      <w:divBdr>
        <w:top w:val="none" w:sz="0" w:space="0" w:color="auto"/>
        <w:left w:val="none" w:sz="0" w:space="0" w:color="auto"/>
        <w:bottom w:val="none" w:sz="0" w:space="0" w:color="auto"/>
        <w:right w:val="none" w:sz="0" w:space="0" w:color="auto"/>
      </w:divBdr>
      <w:divsChild>
        <w:div w:id="1409036450">
          <w:marLeft w:val="0"/>
          <w:marRight w:val="0"/>
          <w:marTop w:val="0"/>
          <w:marBottom w:val="0"/>
          <w:divBdr>
            <w:top w:val="none" w:sz="0" w:space="0" w:color="auto"/>
            <w:left w:val="none" w:sz="0" w:space="0" w:color="auto"/>
            <w:bottom w:val="none" w:sz="0" w:space="0" w:color="auto"/>
            <w:right w:val="none" w:sz="0" w:space="0" w:color="auto"/>
          </w:divBdr>
          <w:divsChild>
            <w:div w:id="7377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7811">
      <w:bodyDiv w:val="1"/>
      <w:marLeft w:val="0"/>
      <w:marRight w:val="0"/>
      <w:marTop w:val="0"/>
      <w:marBottom w:val="0"/>
      <w:divBdr>
        <w:top w:val="none" w:sz="0" w:space="0" w:color="auto"/>
        <w:left w:val="none" w:sz="0" w:space="0" w:color="auto"/>
        <w:bottom w:val="none" w:sz="0" w:space="0" w:color="auto"/>
        <w:right w:val="none" w:sz="0" w:space="0" w:color="auto"/>
      </w:divBdr>
    </w:div>
    <w:div w:id="18114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1277-800E-41AA-A1BF-5E685B9E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Fire and Rescue National Resilience Assurance Team</vt:lpstr>
    </vt:vector>
  </TitlesOfParts>
  <Company>Microsoft Corporation</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Rescue National Resilience Assurance Team</dc:title>
  <dc:creator>ddavies</dc:creator>
  <cp:lastModifiedBy>Roy Wilsher - NFCC</cp:lastModifiedBy>
  <cp:revision>2</cp:revision>
  <cp:lastPrinted>2017-09-01T14:35:00Z</cp:lastPrinted>
  <dcterms:created xsi:type="dcterms:W3CDTF">2018-06-15T14:11:00Z</dcterms:created>
  <dcterms:modified xsi:type="dcterms:W3CDTF">2018-06-15T14:11:00Z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TC011294561033</vt:lpwstr>
  </property>
</Properties>
</file>